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PATVIRTINTA</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rPr>
                <w:rFonts w:ascii="Trebuchet MS" w:hAnsi="Trebuchet MS" w:cs="Arial"/>
                <w:color w:val="000000"/>
                <w:sz w:val="18"/>
                <w:szCs w:val="18"/>
                <w:lang w:val="en-US" w:eastAsia="en-US"/>
              </w:rPr>
            </w:pPr>
            <w:r>
              <w:rPr>
                <w:rFonts w:ascii="Trebuchet MS" w:hAnsi="Trebuchet MS" w:cs="Arial"/>
                <w:color w:val="000000"/>
                <w:sz w:val="18"/>
                <w:szCs w:val="18"/>
                <w:lang w:eastAsia="en-US"/>
              </w:rPr>
              <w:t xml:space="preserve">LITGRID AB </w:t>
            </w:r>
            <w:r>
              <w:rPr>
                <w:rFonts w:ascii="Trebuchet MS" w:hAnsi="Trebuchet MS" w:cs="Arial"/>
                <w:color w:val="000000"/>
                <w:sz w:val="18"/>
                <w:szCs w:val="18"/>
                <w:lang w:eastAsia="en-US"/>
              </w:rPr>
              <w:t xml:space="preserve">20</w:t>
            </w:r>
            <w:r>
              <w:rPr>
                <w:rFonts w:ascii="Trebuchet MS" w:hAnsi="Trebuchet MS" w:cs="Arial"/>
                <w:color w:val="000000"/>
                <w:sz w:val="18"/>
                <w:szCs w:val="18"/>
                <w:lang w:eastAsia="en-US"/>
              </w:rPr>
              <w:t xml:space="preserve">2</w:t>
            </w:r>
            <w:r>
              <w:rPr>
                <w:rFonts w:ascii="Trebuchet MS" w:hAnsi="Trebuchet MS" w:cs="Arial"/>
                <w:color w:val="000000"/>
                <w:sz w:val="18"/>
                <w:szCs w:val="18"/>
                <w:lang w:val="en-US" w:eastAsia="en-US"/>
              </w:rPr>
              <w:t xml:space="preserve">4</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LITGRID AB </w:t>
            </w:r>
            <w:r>
              <w:rPr>
                <w:rFonts w:ascii="Trebuchet MS" w:hAnsi="Trebuchet MS" w:cs="Arial"/>
                <w:color w:val="000000"/>
                <w:sz w:val="18"/>
                <w:szCs w:val="18"/>
                <w:lang w:eastAsia="en-US"/>
              </w:rPr>
              <w:t xml:space="preserve">20</w:t>
            </w:r>
            <w:r>
              <w:rPr>
                <w:rFonts w:ascii="Trebuchet MS" w:hAnsi="Trebuchet MS" w:cs="Arial"/>
                <w:color w:val="000000"/>
                <w:sz w:val="18"/>
                <w:szCs w:val="18"/>
                <w:lang w:eastAsia="en-US"/>
              </w:rPr>
              <w:t xml:space="preserve">24</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m.</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ind w:right="-1"/>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May 23</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Gegužės 23 d</w:t>
            </w:r>
          </w:p>
        </w:tc>
        <w:tc>
          <w:tcPr>
            <w:tcW w:type="dxa" w:w="565"/>
            <w:tcBorders/>
          </w:tcPr>
          <w:p>
            <w:pPr>
              <w:spacing/>
              <w:rPr>
                <w:rFonts w:ascii="Trebuchet MS" w:hAnsi="Trebuchet MS" w:cs="Arial"/>
                <w:color w:val="000000"/>
                <w:sz w:val="18"/>
                <w:szCs w:val="18"/>
                <w:lang w:eastAsia="en-US"/>
              </w:rPr>
            </w:pPr>
          </w:p>
        </w:tc>
      </w:tr>
      <w:tr>
        <w:trPr/>
        <w:tc>
          <w:tcPr>
            <w:tcW w:type="dxa" w:w="3377"/>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director direction No. </w:t>
            </w:r>
            <w:r>
              <w:rPr>
                <w:rFonts w:ascii="Trebuchet MS" w:hAnsi="Trebuchet MS" w:cs="Arial"/>
                <w:color w:val="000000"/>
                <w:sz w:val="18"/>
                <w:szCs w:val="18"/>
                <w:lang w:eastAsia="en-US"/>
              </w:rPr>
              <w:t xml:space="preserve">24NU-229</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cs="Arial"/>
                <w:color w:val="000000"/>
                <w:sz w:val="18"/>
                <w:szCs w:val="18"/>
                <w:lang w:eastAsia="en-US"/>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24NU-229</w:t>
            </w:r>
          </w:p>
        </w:tc>
      </w:tr>
    </w:tbl>
    <w:p w14:paraId="0EFA2A6B">
      <w:pPr>
        <w:spacing w:after="0" w:line="240" w:lineRule="auto"/>
        <w:jc w:val="center"/>
        <w:textAlignment w:val="top"/>
        <w:rPr>
          <w:rFonts w:ascii="Arial" w:hAnsi="Arial" w:cs="Arial"/>
          <w:b/>
          <w:sz w:val="18"/>
          <w:szCs w:val="18"/>
        </w:rPr>
      </w:pPr>
    </w:p>
    <w:p w14:paraId="4BDE3A33">
      <w:pPr>
        <w:spacing w:after="0" w:line="240" w:lineRule="auto"/>
        <w:jc w:val="center"/>
        <w:textAlignment w:val="top"/>
        <w:rPr>
          <w:rFonts w:ascii="Trebuchet MS" w:hAnsi="Trebuchet MS" w:cs="Arial"/>
          <w:b/>
          <w:sz w:val="18"/>
          <w:szCs w:val="18"/>
          <w:lang w:val="en-US"/>
        </w:rPr>
      </w:pPr>
      <w:r>
        <w:rPr>
          <w:rFonts w:ascii="Trebuchet MS" w:hAnsi="Trebuchet MS" w:cs="Arial"/>
          <w:b/>
          <w:sz w:val="18"/>
          <w:szCs w:val="18"/>
        </w:rPr>
        <w:t xml:space="preserve">STANDARTINIAI TECHNINIAI REIKALAVIMAI TELEKOMANDŲ PERDAVIMO SISTEMOS ĮRENGINIAMS SUSIETIEMS SU RELINE APSAUGA IR AUTOMATIKA </w:t>
      </w:r>
    </w:p>
    <w:p w14:paraId="276B8F52">
      <w:pPr>
        <w:spacing w:after="0" w:line="240" w:lineRule="auto"/>
        <w:jc w:val="center"/>
        <w:textAlignment w:val="top"/>
        <w:rPr>
          <w:rFonts w:ascii="Trebuchet MS" w:hAnsi="Trebuchet MS" w:cs="Arial"/>
          <w:b/>
          <w:sz w:val="18"/>
          <w:szCs w:val="18"/>
          <w:lang w:val="en-US"/>
        </w:rPr>
      </w:pPr>
      <w:r>
        <w:rPr>
          <w:rFonts w:ascii="Trebuchet MS" w:hAnsi="Trebuchet MS" w:cs="Arial"/>
          <w:b/>
          <w:sz w:val="18"/>
          <w:szCs w:val="18"/>
          <w:lang w:val="en-US"/>
        </w:rPr>
        <w:t xml:space="preserve">STANDARD TECHNICAL REQUIREMENTS FOR TELEPROTECTION SYSTEM EQUIPMENT LINKED WITH RELAY PROTECTION AND AUTOMATION</w:t>
      </w:r>
    </w:p>
    <w:p w14:paraId="5692BA8E">
      <w:pPr>
        <w:spacing w:after="0" w:line="240" w:lineRule="auto"/>
        <w:jc w:val="center"/>
        <w:textAlignment w:val="top"/>
        <w:rPr>
          <w:rFonts w:ascii="Arial" w:hAnsi="Arial" w:cs="Arial"/>
          <w:b/>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1984"/>
        <w:gridCol w:w="426"/>
        <w:gridCol w:w="567"/>
        <w:gridCol w:w="569"/>
        <w:gridCol w:w="3687"/>
        <w:gridCol w:w="3687"/>
        <w:gridCol w:w="2406"/>
        <w:gridCol w:w="991"/>
      </w:tblGrid>
      <w:tr>
        <w:trPr>
          <w:cantSpli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546"/>
            <w:gridSpan w:val="4"/>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product or material</w:t>
            </w:r>
          </w:p>
        </w:tc>
      </w:tr>
      <w:tr>
        <w:trPr>
          <w:cantSplit/>
          <w:tblHeader/>
        </w:trPr>
        <w:tc>
          <w:tcPr>
            <w:tcW w:type="dxa" w:w="846"/>
            <w:vMerge w:val="continue"/>
            <w:tcBorders/>
            <w:shd w:fill="F2F2F2" w:color="auto" w:val="clear"/>
            <w:vAlign w:val="center"/>
          </w:tcPr>
          <w:p>
            <w:pPr>
              <w:spacing/>
              <w:jc w:val="center"/>
              <w:rPr>
                <w:rFonts w:ascii="Trebuchet MS" w:hAnsi="Trebuchet MS"/>
                <w:sz w:val="18"/>
                <w:szCs w:val="18"/>
              </w:rPr>
            </w:pPr>
          </w:p>
        </w:tc>
        <w:tc>
          <w:tcPr>
            <w:tcW w:type="dxa" w:w="3546"/>
            <w:gridSpan w:val="4"/>
            <w:vMerge w:val="continue"/>
            <w:tcBorders/>
            <w:shd w:fill="F2F2F2" w:color="auto" w:val="clear"/>
            <w:vAlign w:val="center"/>
          </w:tcPr>
          <w:p>
            <w:pPr>
              <w:spacing/>
              <w:jc w:val="center"/>
              <w:rPr>
                <w:rFonts w:ascii="Trebuchet MS" w:hAnsi="Trebuchet MS"/>
                <w:sz w:val="18"/>
                <w:szCs w:val="18"/>
              </w:rPr>
            </w:pPr>
          </w:p>
        </w:tc>
        <w:tc>
          <w:tcPr>
            <w:tcW w:type="dxa" w:w="3687"/>
            <w:vMerge w:val="continue"/>
            <w:tcBorders/>
            <w:shd w:fill="F2F2F2" w:color="auto" w:val="clear"/>
            <w:vAlign w:val="center"/>
          </w:tcPr>
          <w:p>
            <w:pPr>
              <w:spacing/>
              <w:jc w:val="center"/>
              <w:rPr>
                <w:rFonts w:ascii="Trebuchet MS" w:hAnsi="Trebuchet MS"/>
                <w:sz w:val="18"/>
                <w:szCs w:val="18"/>
              </w:rPr>
            </w:pPr>
          </w:p>
        </w:tc>
        <w:tc>
          <w:tcPr>
            <w:tcW w:type="dxa" w:w="3687"/>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6"/>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546"/>
            <w:gridSpan w:val="4"/>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6"/>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6"/>
            <w:vMerge w:val="restart"/>
            <w:tcBorders/>
            <w:vAlign w:val="center"/>
          </w:tcPr>
          <w:p>
            <w:pPr>
              <w:pStyle w:val="ListParagraph"/>
              <w:numPr>
                <w:ilvl w:val="0"/>
                <w:numId w:val="14"/>
              </w:numPr>
              <w:spacing/>
              <w:jc w:val="center"/>
              <w:rPr>
                <w:rFonts w:ascii="Trebuchet MS" w:hAnsi="Trebuchet MS"/>
                <w:b/>
                <w:bCs/>
                <w:sz w:val="18"/>
                <w:szCs w:val="18"/>
              </w:rPr>
            </w:pPr>
          </w:p>
        </w:tc>
        <w:tc>
          <w:tcPr>
            <w:tcW w:type="dxa" w:w="3546"/>
            <w:gridSpan w:val="4"/>
            <w:vMerge w:val="restart"/>
            <w:tcBorders/>
            <w:vAlign w:val="center"/>
          </w:tcPr>
          <w:p>
            <w:pPr>
              <w:spacing/>
              <w:rPr>
                <w:rFonts w:ascii="Trebuchet MS" w:hAnsi="Trebuchet MS" w:cs="Arial"/>
                <w:sz w:val="18"/>
                <w:szCs w:val="18"/>
              </w:rPr>
            </w:pPr>
            <w:r>
              <w:rPr>
                <w:rFonts w:ascii="Trebuchet MS" w:hAnsi="Trebuchet MS" w:cs="Arial"/>
                <w:sz w:val="18"/>
                <w:szCs w:val="18"/>
              </w:rPr>
              <w:t xml:space="preserve">Telekomandų perdavimo įrenginys </w:t>
            </w:r>
            <w:r>
              <w:rPr>
                <w:rFonts w:ascii="Trebuchet MS" w:hAnsi="Trebuchet MS" w:cs="Arial"/>
                <w:sz w:val="18"/>
                <w:szCs w:val="18"/>
              </w:rPr>
              <w:t xml:space="preserve">p</w:t>
            </w:r>
            <w:r>
              <w:rPr>
                <w:rFonts w:ascii="Trebuchet MS" w:hAnsi="Trebuchet MS" w:cs="Arial"/>
                <w:sz w:val="18"/>
                <w:szCs w:val="18"/>
              </w:rPr>
              <w:t xml:space="preserve">rijunginiui</w:t>
            </w:r>
            <w:r>
              <w:rPr>
                <w:rFonts w:ascii="Trebuchet MS" w:hAnsi="Trebuchet MS" w:cs="Arial"/>
                <w:sz w:val="18"/>
                <w:szCs w:val="18"/>
                <w:lang w:val="en-US"/>
              </w:rPr>
              <w:t xml:space="preserve"> …</w:t>
            </w:r>
            <w:r>
              <w:rPr>
                <w:rFonts w:ascii="Trebuchet MS" w:hAnsi="Trebuchet MS" w:cs="Arial"/>
                <w:sz w:val="18"/>
                <w:szCs w:val="18"/>
                <w:lang w:val="en-US"/>
              </w:rPr>
              <w:t xml:space="preserve">/ Teleprotection commanding device for Bay 1</w:t>
            </w:r>
          </w:p>
        </w:tc>
        <w:tc>
          <w:tcPr>
            <w:tcW w:type="dxa" w:w="3687"/>
            <w:vMerge w:val="restart"/>
            <w:tcBorders/>
            <w:vAlign w:val="center"/>
          </w:tcPr>
          <w:p>
            <w:pPr>
              <w:spacing/>
              <w:jc w:val="center"/>
              <w:rPr>
                <w:rFonts w:ascii="Trebuchet MS" w:hAnsi="Trebuchet MS" w:cs="Arial"/>
                <w:sz w:val="18"/>
                <w:szCs w:val="18"/>
              </w:rPr>
            </w:pPr>
          </w:p>
        </w:tc>
        <w:tc>
          <w:tcPr>
            <w:tcW w:type="dxa" w:w="3687"/>
            <w:tcBorders/>
          </w:tcPr>
          <w:p>
            <w:pPr>
              <w:spacing/>
              <w:rPr>
                <w:rFonts w:ascii="Trebuchet MS" w:hAnsi="Trebuchet MS" w:cs="Arial"/>
                <w:sz w:val="18"/>
                <w:szCs w:val="18"/>
              </w:rPr>
            </w:pPr>
            <w:r>
              <w:rPr>
                <w:rFonts w:ascii="Trebuchet MS" w:hAnsi="Trebuchet MS" w:cs="Arial"/>
                <w:sz w:val="18"/>
                <w:szCs w:val="18"/>
              </w:rPr>
              <w:t xml:space="preserve">Įrenginio sąrankos kodas pagal gamintojo sistemą/ </w:t>
            </w:r>
            <w:r>
              <w:rPr>
                <w:rFonts w:ascii="Trebuchet MS" w:hAnsi="Trebuchet MS" w:cs="Arial"/>
                <w:sz w:val="18"/>
                <w:szCs w:val="18"/>
                <w:lang w:val="en-US"/>
              </w:rPr>
              <w:t xml:space="preserve">Device setup code according to manufacturer system</w:t>
            </w:r>
            <w:r>
              <w:rPr>
                <w:rFonts w:ascii="Trebuchet MS" w:hAnsi="Trebuchet MS" w:cs="Arial"/>
                <w:sz w:val="18"/>
                <w:szCs w:val="18"/>
              </w:rPr>
              <w:t xml:space="preserve">:</w:t>
            </w:r>
          </w:p>
        </w:tc>
        <w:tc>
          <w:tcPr>
            <w:tcW w:type="dxa" w:w="3397"/>
            <w:gridSpan w:val="2"/>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vMerge w:val="continue"/>
            <w:tcBorders/>
            <w:vAlign w:val="center"/>
          </w:tcPr>
          <w:p>
            <w:pPr>
              <w:spacing/>
              <w:rPr>
                <w:rFonts w:ascii="Trebuchet MS" w:hAnsi="Trebuchet MS" w:cs="Arial"/>
                <w:sz w:val="18"/>
                <w:szCs w:val="18"/>
              </w:rPr>
            </w:pPr>
          </w:p>
        </w:tc>
        <w:tc>
          <w:tcPr>
            <w:tcW w:type="dxa" w:w="3687"/>
            <w:vMerge w:val="continue"/>
            <w:tcBorders/>
            <w:vAlign w:val="center"/>
          </w:tcPr>
          <w:p>
            <w:pPr>
              <w:spacing/>
              <w:jc w:val="center"/>
              <w:rPr>
                <w:rFonts w:ascii="Trebuchet MS" w:hAnsi="Trebuchet MS" w:cs="Arial"/>
                <w:sz w:val="18"/>
                <w:szCs w:val="18"/>
              </w:rPr>
            </w:pPr>
          </w:p>
        </w:tc>
        <w:tc>
          <w:tcPr>
            <w:tcW w:type="dxa" w:w="3687"/>
            <w:tcBorders/>
          </w:tcPr>
          <w:p>
            <w:pPr>
              <w:spacing/>
              <w:rPr>
                <w:rFonts w:ascii="Trebuchet MS" w:hAnsi="Trebuchet MS" w:cs="Arial"/>
                <w:sz w:val="18"/>
                <w:szCs w:val="18"/>
              </w:rPr>
            </w:pPr>
          </w:p>
          <w:p>
            <w:pPr>
              <w:spacing/>
              <w:rPr>
                <w:rFonts w:ascii="Trebuchet MS" w:hAnsi="Trebuchet MS" w:cs="Arial"/>
                <w:sz w:val="18"/>
                <w:szCs w:val="18"/>
              </w:rPr>
            </w:pPr>
            <w:r>
              <w:rPr>
                <w:rFonts w:ascii="Trebuchet MS" w:hAnsi="Trebuchet MS" w:cs="Arial"/>
                <w:sz w:val="18"/>
                <w:szCs w:val="18"/>
              </w:rPr>
              <w:t xml:space="preserve">Gamintojas/ </w:t>
            </w:r>
            <w:r>
              <w:rPr>
                <w:rFonts w:ascii="Trebuchet MS" w:hAnsi="Trebuchet MS" w:cs="Arial"/>
                <w:sz w:val="18"/>
                <w:szCs w:val="18"/>
                <w:lang w:val="en-US"/>
              </w:rPr>
              <w:t xml:space="preserve">Manufacturer</w:t>
            </w:r>
          </w:p>
        </w:tc>
        <w:tc>
          <w:tcPr>
            <w:tcW w:type="dxa" w:w="3397"/>
            <w:gridSpan w:val="2"/>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vMerge w:val="continue"/>
            <w:tcBorders/>
            <w:vAlign w:val="center"/>
          </w:tcPr>
          <w:p>
            <w:pPr>
              <w:spacing/>
              <w:rPr>
                <w:rFonts w:ascii="Trebuchet MS" w:hAnsi="Trebuchet MS" w:cs="Arial"/>
                <w:sz w:val="18"/>
                <w:szCs w:val="18"/>
              </w:rPr>
            </w:pPr>
          </w:p>
        </w:tc>
        <w:tc>
          <w:tcPr>
            <w:tcW w:type="dxa" w:w="3687"/>
            <w:vMerge w:val="continue"/>
            <w:tcBorders/>
            <w:vAlign w:val="center"/>
          </w:tcPr>
          <w:p>
            <w:pPr>
              <w:spacing/>
              <w:jc w:val="center"/>
              <w:rPr>
                <w:rFonts w:ascii="Trebuchet MS" w:hAnsi="Trebuchet MS" w:cs="Arial"/>
                <w:sz w:val="18"/>
                <w:szCs w:val="18"/>
              </w:rPr>
            </w:pPr>
          </w:p>
        </w:tc>
        <w:tc>
          <w:tcPr>
            <w:tcW w:type="dxa" w:w="3687"/>
            <w:tcBorders/>
          </w:tcPr>
          <w:p>
            <w:pPr>
              <w:spacing/>
              <w:rPr>
                <w:rFonts w:ascii="Trebuchet MS" w:hAnsi="Trebuchet MS" w:cs="Arial"/>
                <w:sz w:val="18"/>
                <w:szCs w:val="18"/>
              </w:rPr>
            </w:pPr>
          </w:p>
          <w:p>
            <w:pPr>
              <w:spacing/>
              <w:rPr>
                <w:rFonts w:ascii="Trebuchet MS" w:hAnsi="Trebuchet MS" w:cs="Arial"/>
                <w:sz w:val="18"/>
                <w:szCs w:val="18"/>
              </w:rPr>
            </w:pPr>
            <w:r>
              <w:rPr>
                <w:rFonts w:ascii="Trebuchet MS" w:hAnsi="Trebuchet MS" w:cs="Arial"/>
                <w:sz w:val="18"/>
                <w:szCs w:val="18"/>
              </w:rPr>
              <w:t xml:space="preserve">Pagaminimo šalis</w:t>
            </w:r>
            <w:r>
              <w:rPr>
                <w:rFonts w:ascii="Trebuchet MS" w:hAnsi="Trebuchet MS" w:cs="Arial"/>
                <w:sz w:val="18"/>
                <w:szCs w:val="18"/>
                <w:lang w:val="en-US"/>
              </w:rPr>
              <w:t xml:space="preserve">/ Country of production</w:t>
            </w:r>
          </w:p>
        </w:tc>
        <w:tc>
          <w:tcPr>
            <w:tcW w:type="dxa" w:w="3397"/>
            <w:gridSpan w:val="2"/>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sz w:val="18"/>
                <w:szCs w:val="18"/>
              </w:rPr>
            </w:pPr>
            <w:r>
              <w:rPr>
                <w:rFonts w:ascii="Trebuchet MS" w:hAnsi="Trebuchet MS" w:cs="Arial"/>
                <w:sz w:val="18"/>
                <w:szCs w:val="18"/>
              </w:rPr>
              <w:t xml:space="preserve">Gamintojo kokybės vadybos sistema turi būti įvertinta sertifikatu/ </w:t>
            </w:r>
            <w:r>
              <w:rPr>
                <w:rFonts w:ascii="Trebuchet MS" w:hAnsi="Trebuchet MS" w:cs="Arial"/>
                <w:sz w:val="18"/>
                <w:szCs w:val="18"/>
                <w:lang w:val="en-US"/>
              </w:rPr>
              <w:t xml:space="preserve">The manufacturer‘s quality management system shall be evaluated by certificate</w:t>
            </w:r>
          </w:p>
        </w:tc>
        <w:tc>
          <w:tcPr>
            <w:tcW w:type="dxa" w:w="3687"/>
            <w:tcBorders/>
            <w:vAlign w:val="center"/>
          </w:tcPr>
          <w:p>
            <w:pPr>
              <w:spacing/>
              <w:jc w:val="center"/>
              <w:rPr>
                <w:rFonts w:ascii="Trebuchet MS" w:hAnsi="Trebuchet MS" w:cs="Arial"/>
                <w:b/>
                <w:sz w:val="18"/>
                <w:szCs w:val="18"/>
              </w:rPr>
            </w:pPr>
            <w:r>
              <w:rPr>
                <w:rFonts w:ascii="Trebuchet MS" w:hAnsi="Trebuchet MS" w:cs="Arial"/>
                <w:sz w:val="18"/>
                <w:szCs w:val="18"/>
              </w:rPr>
              <w:t xml:space="preserve">LST EN ISO 900</w:t>
            </w:r>
            <w:r>
              <w:rPr>
                <w:rFonts w:ascii="Trebuchet MS" w:hAnsi="Trebuchet MS" w:cs="Arial"/>
                <w:sz w:val="18"/>
                <w:szCs w:val="18"/>
                <w:lang w:val="en-US"/>
              </w:rPr>
              <w:t xml:space="preserve">1 </w:t>
            </w:r>
            <w:r>
              <w:rPr>
                <w:rFonts w:ascii="Trebuchet MS" w:hAnsi="Trebuchet MS" w:cs="Arial"/>
                <w:sz w:val="18"/>
                <w:szCs w:val="18"/>
              </w:rPr>
              <w:t xml:space="preserve">arba lygiavertis </w:t>
            </w:r>
            <w:r>
              <w:rPr>
                <w:rFonts w:ascii="Trebuchet MS" w:hAnsi="Trebuchet MS" w:cs="Arial"/>
                <w:sz w:val="18"/>
                <w:szCs w:val="18"/>
                <w:vertAlign w:val="superscript"/>
              </w:rPr>
              <w:t xml:space="preserve">c</w:t>
            </w:r>
            <w:r>
              <w:rPr>
                <w:rFonts w:ascii="Trebuchet MS" w:hAnsi="Trebuchet MS" w:cs="Arial"/>
                <w:sz w:val="18"/>
                <w:szCs w:val="18"/>
                <w:vertAlign w:val="superscript"/>
              </w:rPr>
              <w:t xml:space="preserve">)</w:t>
            </w:r>
            <w:r>
              <w:rPr>
                <w:rFonts w:ascii="Trebuchet MS" w:hAnsi="Trebuchet MS" w:cs="Arial"/>
                <w:sz w:val="18"/>
                <w:szCs w:val="18"/>
              </w:rPr>
              <w:t xml:space="preserve">/ </w:t>
            </w:r>
            <w:r>
              <w:rPr>
                <w:rFonts w:ascii="Trebuchet MS" w:hAnsi="Trebuchet MS" w:cs="Arial"/>
                <w:sz w:val="18"/>
                <w:szCs w:val="18"/>
                <w:lang w:val="en-US"/>
              </w:rPr>
              <w:t xml:space="preserve">or equivalent</w:t>
            </w:r>
            <w:r>
              <w:rPr>
                <w:rFonts w:ascii="Trebuchet MS" w:hAnsi="Trebuchet MS" w:cs="Arial"/>
                <w:sz w:val="18"/>
                <w:szCs w:val="18"/>
              </w:rPr>
              <w:t xml:space="preserve"> </w:t>
            </w:r>
            <w:r>
              <w:rPr>
                <w:rFonts w:ascii="Trebuchet MS" w:hAnsi="Trebuchet MS" w:cs="Arial"/>
                <w:sz w:val="18"/>
                <w:szCs w:val="18"/>
                <w:vertAlign w:val="superscript"/>
              </w:rPr>
              <w:t xml:space="preserve">b)</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Arial" w:hAnsi="Arial" w:cs="Arial"/>
                <w:color w:val="000000"/>
                <w:sz w:val="18"/>
                <w:szCs w:val="18"/>
              </w:rPr>
            </w:pPr>
            <w:r>
              <w:rPr>
                <w:rFonts w:ascii="Trebuchet MS" w:hAnsi="Trebuchet MS" w:cs="Arial"/>
                <w:sz w:val="18"/>
                <w:szCs w:val="18"/>
              </w:rPr>
              <w:t xml:space="preserve">Gamintojo aplinkos vadybos sistema turi būti įvertinta sertifikatu/ </w:t>
            </w:r>
            <w:r>
              <w:rPr>
                <w:rFonts w:ascii="Trebuchet MS" w:hAnsi="Trebuchet MS" w:cs="Arial"/>
                <w:sz w:val="18"/>
                <w:szCs w:val="18"/>
                <w:lang w:val="en-US"/>
              </w:rPr>
              <w:t xml:space="preserve">The cabinet’s manufacturer‘s environmental management system shall be evaluated by certificate</w:t>
            </w:r>
          </w:p>
        </w:tc>
        <w:tc>
          <w:tcPr>
            <w:tcW w:type="dxa" w:w="3687"/>
            <w:tcBorders/>
            <w:vAlign w:val="center"/>
          </w:tcPr>
          <w:p>
            <w:pPr>
              <w:pStyle w:val="Default"/>
              <w:spacing/>
              <w:jc w:val="center"/>
              <w:rPr>
                <w:rFonts w:ascii="Arial" w:hAnsi="Arial" w:cs="Arial"/>
                <w:sz w:val="18"/>
                <w:szCs w:val="18"/>
              </w:rPr>
            </w:pPr>
            <w:r>
              <w:rPr>
                <w:rFonts w:ascii="Trebuchet MS" w:hAnsi="Trebuchet MS" w:cs="Arial"/>
                <w:sz w:val="18"/>
                <w:szCs w:val="18"/>
              </w:rPr>
              <w:t xml:space="preserve">LST EN ISO 14001 arba lygiavertis </w:t>
            </w:r>
            <w:r>
              <w:rPr>
                <w:rFonts w:ascii="Trebuchet MS" w:hAnsi="Trebuchet MS" w:cs="Arial"/>
                <w:sz w:val="18"/>
                <w:szCs w:val="18"/>
                <w:vertAlign w:val="superscript"/>
              </w:rPr>
              <w:t xml:space="preserve">c</w:t>
            </w:r>
            <w:r>
              <w:rPr>
                <w:rFonts w:ascii="Trebuchet MS" w:hAnsi="Trebuchet MS" w:cs="Arial"/>
                <w:sz w:val="18"/>
                <w:szCs w:val="18"/>
                <w:vertAlign w:val="superscript"/>
              </w:rPr>
              <w:t xml:space="preserve">)</w:t>
            </w:r>
            <w:r>
              <w:rPr>
                <w:rFonts w:ascii="Trebuchet MS" w:hAnsi="Trebuchet MS" w:cs="Arial"/>
                <w:sz w:val="18"/>
                <w:szCs w:val="18"/>
              </w:rPr>
              <w:t xml:space="preserve">/ </w:t>
            </w:r>
            <w:r>
              <w:rPr>
                <w:rFonts w:ascii="Trebuchet MS" w:hAnsi="Trebuchet MS" w:cs="Arial"/>
                <w:sz w:val="18"/>
                <w:szCs w:val="18"/>
                <w:lang w:val="en-US"/>
              </w:rPr>
              <w:t xml:space="preserve">or equivalent</w:t>
            </w:r>
            <w:r>
              <w:rPr>
                <w:rFonts w:ascii="Trebuchet MS" w:hAnsi="Trebuchet MS" w:cs="Arial"/>
                <w:sz w:val="18"/>
                <w:szCs w:val="18"/>
              </w:rPr>
              <w:t xml:space="preserve"> </w:t>
            </w:r>
            <w:r>
              <w:rPr>
                <w:rFonts w:ascii="Trebuchet MS" w:hAnsi="Trebuchet MS" w:cs="Arial"/>
                <w:sz w:val="18"/>
                <w:szCs w:val="18"/>
                <w:vertAlign w:val="superscript"/>
                <w:lang w:val="en-US"/>
              </w:rPr>
              <w:t xml:space="preserve"> b)</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sz w:val="18"/>
                <w:szCs w:val="18"/>
              </w:rPr>
            </w:pPr>
            <w:r>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Pr>
                <w:rFonts w:ascii="Trebuchet MS" w:hAnsi="Trebuchet MS" w:cs="Arial"/>
                <w:sz w:val="18"/>
                <w:szCs w:val="18"/>
              </w:rPr>
              <w:t xml:space="preserve">(2014/35/EU) </w:t>
            </w:r>
            <w:r>
              <w:rPr>
                <w:rFonts w:ascii="Trebuchet MS" w:hAnsi="Trebuchet MS" w:cs="Arial"/>
                <w:sz w:val="18"/>
                <w:szCs w:val="18"/>
                <w:lang w:val="en-US"/>
              </w:rPr>
              <w:t xml:space="preserve">directives shall be approved with certificate.</w:t>
            </w:r>
          </w:p>
        </w:tc>
        <w:tc>
          <w:tcPr>
            <w:tcW w:type="dxa" w:w="3687"/>
            <w:tcBorders/>
            <w:vAlign w:val="center"/>
          </w:tcPr>
          <w:p>
            <w:pPr>
              <w:pStyle w:val="Default"/>
              <w:spacing/>
              <w:jc w:val="center"/>
              <w:rPr>
                <w:rFonts w:ascii="Trebuchet MS" w:hAnsi="Trebuchet MS" w:cs="Arial"/>
                <w:sz w:val="18"/>
                <w:szCs w:val="18"/>
              </w:rPr>
            </w:pPr>
            <w:r>
              <w:rPr>
                <w:rFonts w:ascii="Trebuchet MS" w:hAnsi="Trebuchet MS" w:cs="Arial"/>
                <w:sz w:val="18"/>
                <w:szCs w:val="18"/>
              </w:rPr>
              <w:t xml:space="preserve">Gamintojo ES atitikties deklaracija </w:t>
            </w:r>
            <w:r>
              <w:rPr>
                <w:rFonts w:ascii="Trebuchet MS" w:hAnsi="Trebuchet MS" w:cs="Arial"/>
                <w:sz w:val="18"/>
                <w:szCs w:val="18"/>
                <w:vertAlign w:val="superscript"/>
              </w:rPr>
              <w:t xml:space="preserve">b)</w:t>
            </w:r>
            <w:r>
              <w:rPr>
                <w:rFonts w:ascii="Trebuchet MS" w:hAnsi="Trebuchet MS" w:cs="Arial"/>
                <w:sz w:val="18"/>
                <w:szCs w:val="18"/>
              </w:rPr>
              <w:t xml:space="preserve">/ </w:t>
            </w:r>
            <w:r>
              <w:rPr>
                <w:rFonts w:ascii="Trebuchet MS" w:hAnsi="Trebuchet MS" w:cs="Arial"/>
                <w:sz w:val="18"/>
                <w:szCs w:val="18"/>
                <w:lang w:val="en-US"/>
              </w:rPr>
              <w:t xml:space="preserve">Manufacturer 's EU declaration of conformity</w:t>
            </w:r>
            <w:r>
              <w:rPr>
                <w:rFonts w:ascii="Trebuchet MS" w:hAnsi="Trebuchet MS" w:cs="Arial"/>
                <w:sz w:val="18"/>
                <w:szCs w:val="18"/>
              </w:rPr>
              <w:t xml:space="preserve">  </w:t>
            </w:r>
            <w:r>
              <w:rPr>
                <w:rFonts w:ascii="Trebuchet MS" w:hAnsi="Trebuchet MS" w:cs="Arial"/>
                <w:sz w:val="18"/>
                <w:szCs w:val="18"/>
                <w:vertAlign w:val="superscript"/>
              </w:rPr>
              <w:t xml:space="preserve">b)</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Arial" w:hAnsi="Arial" w:cs="Arial"/>
                <w:color w:val="000000"/>
                <w:sz w:val="18"/>
                <w:szCs w:val="18"/>
              </w:rPr>
            </w:pPr>
            <w:r>
              <w:rPr>
                <w:rFonts w:ascii="Trebuchet MS" w:hAnsi="Trebuchet MS" w:cs="Arial"/>
                <w:sz w:val="18"/>
                <w:szCs w:val="18"/>
              </w:rPr>
              <w:t xml:space="preserve">Telekomandų perdavimo ryšio kanalas ir jo įranga turi užtikrinti telekomandų perdavimo kokybinius reikalavimus pagal/ </w:t>
            </w:r>
            <w:r>
              <w:rPr>
                <w:rFonts w:ascii="Trebuchet MS" w:hAnsi="Trebuchet MS" w:cs="Arial"/>
                <w:sz w:val="18"/>
                <w:szCs w:val="18"/>
                <w:lang w:val="en-US"/>
              </w:rPr>
              <w:t xml:space="preserve">Teleprotection communication channel and equipment to ensure teleprotection quality requirements according</w:t>
            </w:r>
          </w:p>
        </w:tc>
        <w:tc>
          <w:tcPr>
            <w:tcW w:type="dxa" w:w="3687"/>
            <w:tcBorders/>
            <w:vAlign w:val="center"/>
          </w:tcPr>
          <w:p>
            <w:pPr>
              <w:pStyle w:val="Default"/>
              <w:spacing/>
              <w:jc w:val="center"/>
              <w:rPr>
                <w:rFonts w:ascii="Arial" w:hAnsi="Arial" w:cs="Arial"/>
                <w:sz w:val="18"/>
                <w:szCs w:val="18"/>
              </w:rPr>
            </w:pPr>
            <w:r>
              <w:rPr>
                <w:rFonts w:ascii="Trebuchet MS" w:hAnsi="Trebuchet MS" w:cs="Arial"/>
                <w:sz w:val="18"/>
                <w:szCs w:val="18"/>
              </w:rPr>
              <w:t xml:space="preserve">IEC 60834-1 arba lygiavertis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or equivalent</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Arial" w:hAnsi="Arial" w:cs="Arial"/>
                <w:b/>
                <w:color w:val="000000"/>
                <w:sz w:val="18"/>
                <w:szCs w:val="18"/>
              </w:rPr>
              <w:t xml:space="preserve">Aplinkos sąlygos/ </w:t>
            </w:r>
            <w:r>
              <w:rPr>
                <w:rFonts w:ascii="Arial" w:hAnsi="Arial" w:cs="Arial"/>
                <w:b/>
                <w:color w:val="000000"/>
                <w:sz w:val="18"/>
                <w:szCs w:val="18"/>
                <w:lang w:val="en-US"/>
              </w:rPr>
              <w:t xml:space="preserve">Ambient conditions:</w:t>
            </w: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Eksploatavimo sąlygos</w:t>
            </w:r>
            <w:r>
              <w:rPr>
                <w:rFonts w:ascii="Trebuchet MS" w:hAnsi="Trebuchet MS" w:cs="Arial"/>
                <w:sz w:val="18"/>
                <w:szCs w:val="18"/>
                <w:vertAlign w:val="superscript"/>
              </w:rPr>
              <w:t xml:space="preserve"> </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Operating conditions</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Patalpoje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Indoor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Leistina ilgalaikė eksploatavimo temperatūra ne žemesnė kaip/ </w:t>
            </w:r>
            <w:r>
              <w:rPr>
                <w:rFonts w:ascii="Trebuchet MS" w:hAnsi="Trebuchet MS" w:cs="Arial"/>
                <w:color w:val="000000"/>
                <w:sz w:val="18"/>
                <w:szCs w:val="18"/>
                <w:lang w:val="en-US"/>
              </w:rPr>
              <w:t xml:space="preserve">Highest allowable operating ambient temperature not lower than, </w:t>
            </w:r>
            <w:r>
              <w:rPr>
                <w:rFonts w:ascii="Trebuchet MS" w:hAnsi="Trebuchet MS" w:cs="Arial"/>
                <w:color w:val="000000"/>
                <w:sz w:val="18"/>
                <w:szCs w:val="18"/>
                <w:vertAlign w:val="superscript"/>
              </w:rPr>
              <w:t xml:space="preserve">o</w:t>
            </w:r>
            <w:r>
              <w:rPr>
                <w:rFonts w:ascii="Trebuchet MS" w:hAnsi="Trebuchet MS" w:cs="Arial"/>
                <w:color w:val="000000"/>
                <w:sz w:val="18"/>
                <w:szCs w:val="18"/>
              </w:rPr>
              <w:t xml:space="preserve">C</w:t>
            </w:r>
            <w:r>
              <w:rPr>
                <w:rFonts w:ascii="Trebuchet MS" w:hAnsi="Trebuchet MS" w:cs="Arial"/>
                <w:color w:val="222222"/>
                <w:sz w:val="18"/>
                <w:szCs w:val="18"/>
              </w:rPr>
              <w:t xml:space="preserve"> </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+40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Minimali eksploatavimo aplinkos temperatūra ne aukštesnė kaip/ </w:t>
            </w:r>
            <w:r>
              <w:rPr>
                <w:rFonts w:ascii="Trebuchet MS" w:hAnsi="Trebuchet MS" w:cs="Arial"/>
                <w:color w:val="000000"/>
                <w:sz w:val="18"/>
                <w:szCs w:val="18"/>
                <w:lang w:val="en-US"/>
              </w:rPr>
              <w:t xml:space="preserve">Lowest operating ambient temperature no higher than, </w:t>
            </w:r>
            <w:r>
              <w:rPr>
                <w:rFonts w:ascii="Trebuchet MS" w:hAnsi="Trebuchet MS" w:cs="Arial"/>
                <w:color w:val="000000"/>
                <w:sz w:val="18"/>
                <w:szCs w:val="18"/>
                <w:vertAlign w:val="superscript"/>
                <w:lang w:val="en-US"/>
              </w:rPr>
              <w:t xml:space="preserve">o</w:t>
            </w:r>
            <w:r>
              <w:rPr>
                <w:rFonts w:ascii="Trebuchet MS" w:hAnsi="Trebuchet MS" w:cs="Arial"/>
                <w:color w:val="000000"/>
                <w:sz w:val="18"/>
                <w:szCs w:val="18"/>
                <w:lang w:val="en-US"/>
              </w:rPr>
              <w:t xml:space="preserve">C</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lang w:val="en-US"/>
              </w:rPr>
              <w:t xml:space="preserve">+</w:t>
            </w:r>
            <w:r>
              <w:rPr>
                <w:rFonts w:ascii="Trebuchet MS" w:hAnsi="Trebuchet MS" w:cs="Arial"/>
                <w:sz w:val="18"/>
                <w:szCs w:val="18"/>
              </w:rPr>
              <w:t xml:space="preserve">5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sz w:val="18"/>
                <w:szCs w:val="18"/>
              </w:rPr>
              <w:t xml:space="preserve">Eksploatavimo aplinkos santykinė drėgmė/ </w:t>
            </w:r>
            <w:r>
              <w:rPr>
                <w:rFonts w:ascii="Trebuchet MS" w:hAnsi="Trebuchet MS" w:cs="Arial"/>
                <w:sz w:val="18"/>
                <w:szCs w:val="18"/>
                <w:lang w:val="en-US"/>
              </w:rPr>
              <w:t xml:space="preserve">Operating environment relative humidity</w:t>
            </w:r>
            <w:r>
              <w:rPr>
                <w:rFonts w:ascii="Trebuchet MS" w:hAnsi="Trebuchet MS" w:cs="Arial"/>
                <w:sz w:val="18"/>
                <w:szCs w:val="18"/>
              </w:rPr>
              <w:t xml:space="preserve">, %</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 90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vertAlign w:val="superscript"/>
              </w:rPr>
            </w:pPr>
            <w:r>
              <w:rPr>
                <w:rFonts w:ascii="Trebuchet MS" w:hAnsi="Trebuchet MS" w:cs="Arial"/>
                <w:b/>
                <w:sz w:val="18"/>
                <w:szCs w:val="18"/>
              </w:rPr>
              <w:t xml:space="preserve">Integruotas maitinimo šaltinis</w:t>
            </w:r>
            <w:r>
              <w:rPr>
                <w:rFonts w:ascii="Trebuchet MS" w:hAnsi="Trebuchet MS" w:cs="Arial"/>
                <w:b/>
                <w:sz w:val="18"/>
                <w:szCs w:val="18"/>
              </w:rPr>
              <w:t xml:space="preserve"> </w:t>
            </w:r>
            <w:r>
              <w:rPr>
                <w:rFonts w:ascii="Trebuchet MS" w:hAnsi="Trebuchet MS" w:cs="Arial"/>
                <w:b/>
                <w:sz w:val="18"/>
                <w:szCs w:val="18"/>
                <w:vertAlign w:val="superscript"/>
              </w:rPr>
              <w:t xml:space="preserve">4)</w:t>
            </w:r>
            <w:r>
              <w:rPr>
                <w:rFonts w:ascii="Trebuchet MS" w:hAnsi="Trebuchet MS" w:cs="Arial"/>
                <w:b/>
                <w:sz w:val="18"/>
                <w:szCs w:val="18"/>
              </w:rPr>
              <w:t xml:space="preserve">/ </w:t>
            </w:r>
            <w:r>
              <w:rPr>
                <w:rFonts w:ascii="Trebuchet MS" w:hAnsi="Trebuchet MS" w:cs="Arial"/>
                <w:b/>
                <w:color w:val="222222"/>
                <w:sz w:val="18"/>
                <w:szCs w:val="18"/>
                <w:lang w:val="en-US"/>
              </w:rPr>
              <w:t xml:space="preserve">Integrated power supply</w:t>
            </w:r>
            <w:r>
              <w:rPr>
                <w:rFonts w:ascii="Trebuchet MS" w:hAnsi="Trebuchet MS" w:cs="Arial"/>
                <w:b/>
                <w:color w:val="222222"/>
                <w:sz w:val="18"/>
                <w:szCs w:val="18"/>
                <w:lang w:val="en-US"/>
              </w:rPr>
              <w:t xml:space="preserve"> </w:t>
            </w:r>
            <w:r>
              <w:rPr>
                <w:rFonts w:ascii="Trebuchet MS" w:hAnsi="Trebuchet MS" w:cs="Arial"/>
                <w:b/>
                <w:color w:val="222222"/>
                <w:sz w:val="18"/>
                <w:szCs w:val="18"/>
                <w:vertAlign w:val="superscript"/>
                <w:lang w:val="en-US"/>
              </w:rPr>
              <w:t xml:space="preserve">4)</w:t>
            </w: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222222"/>
                <w:sz w:val="18"/>
                <w:szCs w:val="18"/>
              </w:rPr>
              <w:t xml:space="preserve">Vardinė maitinimo įtampa Uv/ </w:t>
            </w:r>
            <w:r>
              <w:rPr>
                <w:rFonts w:ascii="Trebuchet MS" w:hAnsi="Trebuchet MS" w:cs="Arial"/>
                <w:color w:val="222222"/>
                <w:sz w:val="18"/>
                <w:szCs w:val="18"/>
                <w:lang w:val="en-US"/>
              </w:rPr>
              <w:t xml:space="preserve">Nominal operating voltage Uv, V</w:t>
            </w:r>
            <w:r>
              <w:rPr>
                <w:rFonts w:ascii="Trebuchet MS" w:hAnsi="Trebuchet MS" w:cs="Arial"/>
                <w:sz w:val="18"/>
                <w:szCs w:val="18"/>
              </w:rPr>
              <w:t xml:space="preserve"> DC</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220 arba/or 110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222222"/>
                <w:sz w:val="18"/>
                <w:szCs w:val="18"/>
              </w:rPr>
              <w:t xml:space="preserve">Patikimo veikimo vardinės maitinimo įtampos ribos/ </w:t>
            </w:r>
            <w:r>
              <w:rPr>
                <w:rFonts w:ascii="Trebuchet MS" w:hAnsi="Trebuchet MS" w:cs="Arial"/>
                <w:color w:val="222222"/>
                <w:sz w:val="18"/>
                <w:szCs w:val="18"/>
                <w:lang w:val="en-US"/>
              </w:rPr>
              <w:t xml:space="preserve">Reliable operation rated voltage range, Uv</w:t>
            </w:r>
            <w:r>
              <w:rPr>
                <w:rFonts w:ascii="Trebuchet MS" w:hAnsi="Trebuchet MS" w:cs="Arial"/>
                <w:color w:val="222222"/>
                <w:sz w:val="18"/>
                <w:szCs w:val="18"/>
              </w:rPr>
              <w:t xml:space="preserve"> </w:t>
            </w:r>
            <w:r>
              <w:rPr>
                <w:rFonts w:ascii="Trebuchet MS" w:hAnsi="Trebuchet MS" w:cs="Arial"/>
                <w:color w:val="222222"/>
                <w:sz w:val="18"/>
                <w:szCs w:val="18"/>
                <w:lang w:val="en-US"/>
              </w:rPr>
              <w:t xml:space="preserve">%</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-20 ÷ +15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Trebuchet MS" w:hAnsi="Trebuchet MS" w:cs="Arial"/>
                <w:b/>
                <w:color w:val="000000"/>
                <w:sz w:val="18"/>
                <w:szCs w:val="18"/>
              </w:rPr>
              <w:t xml:space="preserve">Maksimalus telekomandų perdavimo laikas telekomandų perdavimo sistemoje tarp transformatorių pastočių pagal IEC 60834-1/ </w:t>
            </w:r>
            <w:r>
              <w:rPr>
                <w:rFonts w:ascii="Trebuchet MS" w:hAnsi="Trebuchet MS" w:cs="Arial"/>
                <w:b/>
                <w:color w:val="000000"/>
                <w:sz w:val="18"/>
                <w:szCs w:val="18"/>
                <w:lang w:val="en-US"/>
              </w:rPr>
              <w:t xml:space="preserve">Maximum telecommand‘s transmission time between transformer substations according with</w:t>
            </w:r>
            <w:r>
              <w:rPr>
                <w:rFonts w:ascii="Trebuchet MS" w:hAnsi="Trebuchet MS" w:cs="Arial"/>
                <w:b/>
                <w:color w:val="000000"/>
                <w:sz w:val="18"/>
                <w:szCs w:val="18"/>
              </w:rPr>
              <w:t xml:space="preserve"> IEC 60834-1</w:t>
            </w: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Blokavimo telekomandos maksimalus aktualus perdavimo laikas turi būti ne didesnis kaip, ms / </w:t>
            </w:r>
            <w:r>
              <w:rPr>
                <w:rFonts w:ascii="Trebuchet MS" w:hAnsi="Trebuchet MS" w:cs="Arial"/>
                <w:color w:val="000000"/>
                <w:sz w:val="18"/>
                <w:szCs w:val="18"/>
                <w:lang w:val="en-GB"/>
              </w:rPr>
              <w:t xml:space="preserve">Blocking telecommand’s maximum actual transmission time shall be not higher than, ms</w:t>
            </w: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Analoginė/ </w:t>
            </w:r>
            <w:r>
              <w:rPr>
                <w:rFonts w:ascii="Trebuchet MS" w:hAnsi="Trebuchet MS" w:cs="Arial"/>
                <w:color w:val="000000"/>
                <w:sz w:val="18"/>
                <w:szCs w:val="18"/>
                <w:lang w:val="en-US"/>
              </w:rPr>
              <w:t xml:space="preserve">Analog</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15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Skaitmeninė/ Digital</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10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Pagreitinimo telekomandos maksimalus aktualus perdavimo laikas turi būti ne didesnis kaip, ms / </w:t>
            </w:r>
            <w:r>
              <w:rPr>
                <w:rFonts w:ascii="Trebuchet MS" w:hAnsi="Trebuchet MS" w:cs="Arial"/>
                <w:color w:val="000000"/>
                <w:sz w:val="18"/>
                <w:szCs w:val="18"/>
                <w:lang w:val="en-GB"/>
              </w:rPr>
              <w:t xml:space="preserve">Speeding up telecommand’s maximum actual transmission time shall be not higher than, ms</w:t>
            </w: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Analoginė/ </w:t>
            </w:r>
            <w:r>
              <w:rPr>
                <w:rFonts w:ascii="Trebuchet MS" w:hAnsi="Trebuchet MS" w:cs="Arial"/>
                <w:color w:val="000000"/>
                <w:sz w:val="18"/>
                <w:szCs w:val="18"/>
                <w:lang w:val="en-US"/>
              </w:rPr>
              <w:t xml:space="preserve">Analog</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20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Skaitmeninė/ Digital</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10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Tiesioginės telekomandos maksimalus aktualus perdavimo laikas turi būti ne didesnis kaip, ms / </w:t>
            </w:r>
            <w:r>
              <w:rPr>
                <w:rFonts w:ascii="Trebuchet MS" w:hAnsi="Trebuchet MS" w:cs="Arial"/>
                <w:color w:val="000000"/>
                <w:sz w:val="18"/>
                <w:szCs w:val="18"/>
                <w:lang w:val="en-GB"/>
              </w:rPr>
              <w:t xml:space="preserve">Direct telecommand‘s maximum actual transmission time shall be not higher than, ms</w:t>
            </w: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Analoginė/ </w:t>
            </w:r>
            <w:r>
              <w:rPr>
                <w:rFonts w:ascii="Trebuchet MS" w:hAnsi="Trebuchet MS" w:cs="Arial"/>
                <w:color w:val="000000"/>
                <w:sz w:val="18"/>
                <w:szCs w:val="18"/>
                <w:lang w:val="en-US"/>
              </w:rPr>
              <w:t xml:space="preserve">Analog</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40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Skaitmeninė/ Digital</w:t>
            </w:r>
          </w:p>
        </w:tc>
        <w:tc>
          <w:tcPr>
            <w:tcW w:type="dxa" w:w="3687"/>
            <w:tcBorders/>
            <w:vAlign w:val="center"/>
          </w:tcPr>
          <w:p>
            <w:pPr>
              <w:spacing/>
              <w:jc w:val="center"/>
              <w:rPr>
                <w:rFonts w:ascii="Trebuchet MS" w:hAnsi="Trebuchet MS" w:cs="Arial"/>
                <w:bCs/>
                <w:sz w:val="18"/>
                <w:szCs w:val="18"/>
              </w:rPr>
            </w:pPr>
            <w:r>
              <w:rPr>
                <w:rFonts w:ascii="Trebuchet MS" w:hAnsi="Trebuchet MS" w:cs="Arial"/>
                <w:b/>
                <w:color w:val="000000"/>
                <w:sz w:val="18"/>
                <w:szCs w:val="18"/>
              </w:rPr>
              <w:t xml:space="preserve">10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Trebuchet MS" w:hAnsi="Trebuchet MS" w:cs="Arial"/>
                <w:b/>
                <w:color w:val="222222"/>
                <w:sz w:val="18"/>
                <w:szCs w:val="18"/>
              </w:rPr>
              <w:t xml:space="preserve">Integruoti binariniai įėjimai / </w:t>
            </w:r>
            <w:r>
              <w:rPr>
                <w:rFonts w:ascii="Trebuchet MS" w:hAnsi="Trebuchet MS" w:cs="Arial"/>
                <w:b/>
                <w:color w:val="222222"/>
                <w:sz w:val="18"/>
                <w:szCs w:val="18"/>
                <w:lang w:val="en-US"/>
              </w:rPr>
              <w:t xml:space="preserve">Integrated binary inputs</w:t>
            </w: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Binarinių įėjimų patikimas darbas turi būti užtikrintas įtampos ribose, kai Uv 220 V DC/ Binary inputs reliable operating must be ensured voltage range of 220 V DC Uv</w:t>
            </w: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Veikimas nuo/ Operation from, V</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160 </w:t>
            </w:r>
            <w:r>
              <w:rPr>
                <w:rFonts w:ascii="Trebuchet MS" w:hAnsi="Trebuchet MS" w:cs="Arial"/>
                <w:color w:val="000000"/>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222222"/>
                <w:sz w:val="18"/>
                <w:szCs w:val="18"/>
              </w:rPr>
              <w:t xml:space="preserve">Neveikimas iki/ </w:t>
            </w:r>
            <w:r>
              <w:rPr>
                <w:rFonts w:ascii="Trebuchet MS" w:hAnsi="Trebuchet MS" w:cs="Arial"/>
                <w:color w:val="222222"/>
                <w:sz w:val="18"/>
                <w:szCs w:val="18"/>
                <w:lang w:val="en-US"/>
              </w:rPr>
              <w:t xml:space="preserve">Inaction up to</w:t>
            </w:r>
            <w:r>
              <w:rPr>
                <w:rFonts w:ascii="Trebuchet MS" w:hAnsi="Trebuchet MS" w:cs="Arial"/>
                <w:color w:val="222222"/>
                <w:sz w:val="18"/>
                <w:szCs w:val="18"/>
              </w:rPr>
              <w:t xml:space="preserve">, V</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130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rPr>
                <w:rFonts w:ascii="Trebuchet MS" w:hAnsi="Trebuchet MS" w:cs="Arial"/>
                <w:sz w:val="18"/>
                <w:szCs w:val="18"/>
                <w:lang w:val="en-US"/>
              </w:rPr>
            </w:pPr>
            <w:r>
              <w:rPr>
                <w:rFonts w:ascii="Trebuchet MS" w:hAnsi="Trebuchet MS" w:cs="Arial"/>
                <w:color w:val="222222"/>
                <w:sz w:val="18"/>
                <w:szCs w:val="18"/>
              </w:rPr>
              <w:t xml:space="preserve">Binarinių įėjimų patikimas darbas turi būti užtikrintas </w:t>
            </w:r>
            <w:r>
              <w:rPr>
                <w:rFonts w:ascii="Trebuchet MS" w:hAnsi="Trebuchet MS" w:cs="Arial"/>
                <w:color w:val="222222"/>
                <w:sz w:val="18"/>
                <w:szCs w:val="18"/>
              </w:rPr>
              <w:t xml:space="preserve">įtampos ribose, kai Uv 110 V DC/ / </w:t>
            </w:r>
            <w:r>
              <w:rPr>
                <w:rFonts w:ascii="Trebuchet MS" w:hAnsi="Trebuchet MS" w:cs="Arial"/>
                <w:color w:val="222222"/>
                <w:sz w:val="18"/>
                <w:szCs w:val="18"/>
                <w:lang w:val="en-US"/>
              </w:rPr>
              <w:t xml:space="preserve">Binary inputs reliable operating must be ensured voltage range of 110 V DC Uv</w:t>
            </w: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222222"/>
                <w:sz w:val="18"/>
                <w:szCs w:val="18"/>
              </w:rPr>
              <w:t xml:space="preserve">Veikimas nuo/ </w:t>
            </w:r>
            <w:r>
              <w:rPr>
                <w:rFonts w:ascii="Trebuchet MS" w:hAnsi="Trebuchet MS" w:cs="Arial"/>
                <w:color w:val="222222"/>
                <w:sz w:val="18"/>
                <w:szCs w:val="18"/>
                <w:lang w:val="en-US"/>
              </w:rPr>
              <w:t xml:space="preserve">Operation from</w:t>
            </w:r>
            <w:r>
              <w:rPr>
                <w:rFonts w:ascii="Trebuchet MS" w:hAnsi="Trebuchet MS" w:cs="Arial"/>
                <w:color w:val="222222"/>
                <w:sz w:val="18"/>
                <w:szCs w:val="18"/>
              </w:rPr>
              <w:t xml:space="preserve">, V</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lang w:val="en-US"/>
              </w:rPr>
              <w:t xml:space="preserve">70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1562"/>
            <w:gridSpan w:val="3"/>
            <w:tcBorders/>
            <w:vAlign w:val="center"/>
          </w:tcPr>
          <w:p>
            <w:pPr>
              <w:spacing/>
              <w:rPr>
                <w:rFonts w:ascii="Trebuchet MS" w:hAnsi="Trebuchet MS" w:cs="Arial"/>
                <w:color w:val="000000"/>
                <w:sz w:val="18"/>
                <w:szCs w:val="18"/>
              </w:rPr>
            </w:pPr>
            <w:r>
              <w:rPr>
                <w:rFonts w:ascii="Trebuchet MS" w:hAnsi="Trebuchet MS" w:cs="Arial"/>
                <w:color w:val="222222"/>
                <w:sz w:val="18"/>
                <w:szCs w:val="18"/>
              </w:rPr>
              <w:t xml:space="preserve">Neveikimas iki/ </w:t>
            </w:r>
            <w:r>
              <w:rPr>
                <w:rFonts w:ascii="Trebuchet MS" w:hAnsi="Trebuchet MS" w:cs="Arial"/>
                <w:color w:val="222222"/>
                <w:sz w:val="18"/>
                <w:szCs w:val="18"/>
                <w:lang w:val="en-US"/>
              </w:rPr>
              <w:t xml:space="preserve">Inaction up</w:t>
            </w:r>
            <w:r>
              <w:rPr>
                <w:rFonts w:ascii="Trebuchet MS" w:hAnsi="Trebuchet MS" w:cs="Arial"/>
                <w:color w:val="222222"/>
                <w:sz w:val="18"/>
                <w:szCs w:val="18"/>
              </w:rPr>
              <w:t xml:space="preserve"> to, V</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60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Height w:val="1244" w:hRule="atLeas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vMerge w:val="restart"/>
            <w:tcBorders/>
            <w:vAlign w:val="center"/>
          </w:tcPr>
          <w:p>
            <w:pPr>
              <w:spacing/>
              <w:rPr>
                <w:rFonts w:ascii="Trebuchet MS" w:hAnsi="Trebuchet MS" w:cs="Arial"/>
                <w:sz w:val="18"/>
                <w:szCs w:val="18"/>
                <w:lang w:val="en-US"/>
              </w:rPr>
            </w:pPr>
            <w:r>
              <w:rPr>
                <w:rFonts w:ascii="Trebuchet MS" w:hAnsi="Trebuchet MS" w:cs="Arial"/>
                <w:sz w:val="18"/>
                <w:szCs w:val="18"/>
              </w:rPr>
              <w:t xml:space="preserve">Telekomandų perdavimo įrenginys įjungimui į multipleksuotą telekomunikacijų S</w:t>
            </w:r>
            <w:r>
              <w:rPr>
                <w:rFonts w:ascii="Trebuchet MS" w:hAnsi="Trebuchet MS" w:cs="Arial"/>
                <w:sz w:val="18"/>
                <w:szCs w:val="18"/>
              </w:rPr>
              <w:t xml:space="preserve">DP (sinchroninio duomenų perdavimo)</w:t>
            </w:r>
            <w:r>
              <w:rPr>
                <w:rFonts w:ascii="Trebuchet MS" w:hAnsi="Trebuchet MS" w:cs="Arial"/>
                <w:sz w:val="18"/>
                <w:szCs w:val="18"/>
              </w:rPr>
              <w:t xml:space="preserve"> tinklą turi turėti / </w:t>
            </w:r>
            <w:r>
              <w:rPr>
                <w:rFonts w:ascii="Trebuchet MS" w:hAnsi="Trebuchet MS" w:cs="Arial"/>
                <w:sz w:val="18"/>
                <w:szCs w:val="18"/>
                <w:lang w:val="en-US"/>
              </w:rPr>
              <w:t xml:space="preserve">Teleprotection  device must have interface for switching to the multiplexed telecommunication SD</w:t>
            </w:r>
            <w:r>
              <w:rPr>
                <w:rFonts w:ascii="Trebuchet MS" w:hAnsi="Trebuchet MS" w:cs="Arial"/>
                <w:sz w:val="18"/>
                <w:szCs w:val="18"/>
                <w:lang w:val="en-US"/>
              </w:rPr>
              <w:t xml:space="preserve">T (synchronous data transmission)</w:t>
            </w:r>
            <w:r>
              <w:rPr>
                <w:rFonts w:ascii="Trebuchet MS" w:hAnsi="Trebuchet MS" w:cs="Arial"/>
                <w:sz w:val="18"/>
                <w:szCs w:val="18"/>
                <w:lang w:val="en-US"/>
              </w:rPr>
              <w:t xml:space="preserve"> network</w:t>
            </w:r>
          </w:p>
          <w:p>
            <w:pPr>
              <w:spacing/>
              <w:rPr>
                <w:rFonts w:ascii="Trebuchet MS" w:hAnsi="Trebuchet MS" w:cs="Arial"/>
                <w:sz w:val="18"/>
                <w:szCs w:val="18"/>
              </w:rPr>
            </w:pPr>
          </w:p>
          <w:p>
            <w:pPr>
              <w:spacing/>
              <w:rPr>
                <w:rFonts w:ascii="Trebuchet MS" w:hAnsi="Trebuchet MS" w:cs="Arial"/>
                <w:sz w:val="18"/>
                <w:szCs w:val="18"/>
              </w:rPr>
            </w:pPr>
          </w:p>
          <w:p>
            <w:pPr>
              <w:spacing/>
              <w:rPr>
                <w:rFonts w:ascii="Trebuchet MS" w:hAnsi="Trebuchet MS" w:cs="Arial"/>
                <w:sz w:val="18"/>
                <w:szCs w:val="18"/>
                <w:lang w:val="en-US"/>
              </w:rPr>
            </w:pPr>
          </w:p>
          <w:p>
            <w:pPr>
              <w:spacing/>
              <w:rPr>
                <w:rFonts w:ascii="Trebuchet MS" w:hAnsi="Trebuchet MS" w:cs="Arial"/>
                <w:sz w:val="18"/>
                <w:szCs w:val="18"/>
              </w:rPr>
            </w:pPr>
          </w:p>
          <w:p>
            <w:pPr>
              <w:spacing/>
              <w:rPr>
                <w:rFonts w:ascii="Trebuchet MS" w:hAnsi="Trebuchet MS" w:cs="Arial"/>
                <w:sz w:val="18"/>
                <w:szCs w:val="18"/>
              </w:rPr>
            </w:pP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Pr>
                <w:rFonts w:ascii="Trebuchet MS" w:hAnsi="Trebuchet MS" w:cs="Arial"/>
                <w:color w:val="000000"/>
                <w:sz w:val="18"/>
                <w:szCs w:val="18"/>
              </w:rPr>
              <w:t xml:space="preserve">E</w:t>
            </w:r>
            <w:r>
              <w:rPr>
                <w:rFonts w:ascii="Trebuchet MS" w:hAnsi="Trebuchet MS" w:cs="Arial"/>
                <w:color w:val="000000"/>
                <w:sz w:val="18"/>
                <w:szCs w:val="18"/>
                <w:lang w:val="en-US"/>
              </w:rPr>
              <w:t xml:space="preserve">1/G</w:t>
            </w:r>
            <w:r>
              <w:rPr>
                <w:rFonts w:ascii="Trebuchet MS" w:hAnsi="Trebuchet MS" w:cs="Arial"/>
                <w:color w:val="000000"/>
                <w:sz w:val="18"/>
                <w:szCs w:val="18"/>
              </w:rPr>
              <w:t xml:space="preserve">703.6 sym.120Ω</w:t>
            </w:r>
            <w:r>
              <w:rPr>
                <w:rFonts w:ascii="Trebuchet MS" w:hAnsi="Trebuchet MS" w:cs="Arial"/>
                <w:color w:val="000000"/>
                <w:sz w:val="18"/>
                <w:szCs w:val="18"/>
              </w:rPr>
              <w:t xml:space="preserve"> arba C37.94 MM 820-850 nm</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r>
              <w:rPr>
                <w:rFonts w:ascii="Trebuchet MS" w:hAnsi="Trebuchet MS" w:cs="Arial"/>
                <w:color w:val="000000"/>
                <w:sz w:val="18"/>
                <w:szCs w:val="18"/>
              </w:rPr>
              <w:t xml:space="preserve">/</w:t>
            </w:r>
            <w:r>
              <w:rPr>
                <w:rFonts w:ascii="Trebuchet MS" w:hAnsi="Trebuchet MS"/>
                <w:sz w:val="18"/>
                <w:szCs w:val="18"/>
              </w:rPr>
              <w:t xml:space="preserve"> </w:t>
            </w:r>
            <w:r>
              <w:rPr>
                <w:rFonts w:ascii="Trebuchet MS" w:hAnsi="Trebuchet MS"/>
                <w:sz w:val="18"/>
                <w:szCs w:val="18"/>
                <w:lang w:val="en-US"/>
              </w:rPr>
              <w:t xml:space="preserve">Integrated</w:t>
            </w:r>
            <w:r>
              <w:rPr>
                <w:rFonts w:ascii="Trebuchet MS" w:hAnsi="Trebuchet MS"/>
                <w:sz w:val="18"/>
                <w:szCs w:val="18"/>
              </w:rPr>
              <w:t xml:space="preserve"> </w:t>
            </w:r>
            <w:r>
              <w:rPr>
                <w:rFonts w:ascii="Trebuchet MS" w:hAnsi="Trebuchet MS" w:cs="Arial"/>
                <w:color w:val="000000"/>
                <w:sz w:val="18"/>
                <w:szCs w:val="18"/>
              </w:rPr>
              <w:t xml:space="preserve">E</w:t>
            </w:r>
            <w:r>
              <w:rPr>
                <w:rFonts w:ascii="Trebuchet MS" w:hAnsi="Trebuchet MS" w:cs="Arial"/>
                <w:color w:val="000000"/>
                <w:sz w:val="18"/>
                <w:szCs w:val="18"/>
                <w:lang w:val="en-US"/>
              </w:rPr>
              <w:t xml:space="preserve">1/G</w:t>
            </w:r>
            <w:r>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Pr>
                <w:rFonts w:ascii="Trebuchet MS" w:hAnsi="Trebuchet MS" w:cs="Arial"/>
                <w:sz w:val="18"/>
                <w:szCs w:val="18"/>
                <w:vertAlign w:val="superscript"/>
              </w:rPr>
              <w:t xml:space="preserve">a)</w:t>
            </w:r>
          </w:p>
        </w:tc>
        <w:tc>
          <w:tcPr>
            <w:tcW w:type="dxa" w:w="3687"/>
            <w:vMerge w:val="restart"/>
            <w:tcBorders/>
            <w:vAlign w:val="center"/>
          </w:tcPr>
          <w:p>
            <w:pPr>
              <w:spacing/>
              <w:jc w:val="center"/>
              <w:rPr>
                <w:rFonts w:ascii="Trebuchet MS" w:hAnsi="Trebuchet MS"/>
                <w:sz w:val="18"/>
                <w:szCs w:val="18"/>
              </w:rPr>
            </w:pPr>
          </w:p>
        </w:tc>
        <w:tc>
          <w:tcPr>
            <w:tcW w:type="dxa" w:w="2406"/>
            <w:vMerge w:val="restart"/>
            <w:tcBorders/>
            <w:vAlign w:val="center"/>
          </w:tcPr>
          <w:p>
            <w:pPr>
              <w:spacing/>
              <w:jc w:val="center"/>
              <w:rPr>
                <w:rFonts w:ascii="Trebuchet MS" w:hAnsi="Trebuchet MS"/>
                <w:sz w:val="18"/>
                <w:szCs w:val="18"/>
              </w:rPr>
            </w:pPr>
          </w:p>
        </w:tc>
        <w:tc>
          <w:tcPr>
            <w:tcW w:type="dxa" w:w="991"/>
            <w:vMerge w:val="restart"/>
            <w:tcBorders/>
            <w:vAlign w:val="center"/>
          </w:tcPr>
          <w:p>
            <w:pPr>
              <w:spacing/>
              <w:jc w:val="center"/>
              <w:rPr>
                <w:rFonts w:ascii="Trebuchet MS" w:hAnsi="Trebuchet MS"/>
                <w:sz w:val="18"/>
                <w:szCs w:val="18"/>
              </w:rPr>
            </w:pPr>
          </w:p>
        </w:tc>
      </w:tr>
      <w:tr>
        <w:trPr>
          <w:cantSplit/>
          <w:trHeight w:val="1468" w:hRule="atLeas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vMerge w:val="continue"/>
            <w:tcBorders/>
            <w:vAlign w:val="center"/>
          </w:tcPr>
          <w:p>
            <w:pPr>
              <w:spacing/>
              <w:rPr>
                <w:rFonts w:ascii="Trebuchet MS" w:hAnsi="Trebuchet MS" w:cs="Arial"/>
                <w:sz w:val="18"/>
                <w:szCs w:val="18"/>
              </w:rPr>
            </w:pP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Pr>
                <w:rFonts w:ascii="Trebuchet MS" w:hAnsi="Trebuchet MS" w:cs="Arial"/>
                <w:color w:val="000000"/>
                <w:sz w:val="18"/>
                <w:szCs w:val="18"/>
              </w:rPr>
              <w:t xml:space="preserve">ST arba LC</w:t>
            </w:r>
            <w:r>
              <w:rPr>
                <w:rFonts w:ascii="Trebuchet MS" w:hAnsi="Trebuchet MS" w:cs="Arial"/>
                <w:color w:val="000000"/>
                <w:sz w:val="18"/>
                <w:szCs w:val="18"/>
              </w:rPr>
              <w:t xml:space="preserve">, arba RJ45</w:t>
            </w:r>
            <w:r>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color w:val="000000"/>
                <w:sz w:val="18"/>
                <w:szCs w:val="18"/>
                <w:lang w:val="en-US"/>
              </w:rPr>
              <w:t xml:space="preserve">Integrated ST or LC</w:t>
            </w:r>
            <w:r>
              <w:rPr>
                <w:rFonts w:ascii="Trebuchet MS" w:hAnsi="Trebuchet MS" w:cs="Arial"/>
                <w:color w:val="000000"/>
                <w:sz w:val="18"/>
                <w:szCs w:val="18"/>
                <w:lang w:val="en-US"/>
              </w:rPr>
              <w:t xml:space="preserve">, or RJ45 port</w:t>
            </w:r>
            <w:r>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p>
        </w:tc>
        <w:tc>
          <w:tcPr>
            <w:tcW w:type="dxa" w:w="3687"/>
            <w:vMerge w:val="continue"/>
            <w:tcBorders/>
            <w:vAlign w:val="center"/>
          </w:tcPr>
          <w:p>
            <w:pPr>
              <w:spacing/>
              <w:jc w:val="center"/>
              <w:rPr>
                <w:rFonts w:ascii="Trebuchet MS" w:hAnsi="Trebuchet MS"/>
                <w:sz w:val="18"/>
                <w:szCs w:val="18"/>
              </w:rPr>
            </w:pPr>
          </w:p>
        </w:tc>
        <w:tc>
          <w:tcPr>
            <w:tcW w:type="dxa" w:w="2406"/>
            <w:vMerge w:val="continue"/>
            <w:tcBorders/>
            <w:vAlign w:val="center"/>
          </w:tcPr>
          <w:p>
            <w:pPr>
              <w:spacing/>
              <w:jc w:val="center"/>
              <w:rPr>
                <w:rFonts w:ascii="Trebuchet MS" w:hAnsi="Trebuchet MS"/>
                <w:sz w:val="18"/>
                <w:szCs w:val="18"/>
              </w:rPr>
            </w:pPr>
          </w:p>
        </w:tc>
        <w:tc>
          <w:tcPr>
            <w:tcW w:type="dxa" w:w="991"/>
            <w:vMerge w:val="continue"/>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sz w:val="18"/>
                <w:szCs w:val="18"/>
              </w:rPr>
              <w:t xml:space="preserve">Telekomandų perdavimo įrenginys įjungimui į aukšto dažnio kanalą turi turėti sąsają/ </w:t>
            </w:r>
            <w:r>
              <w:rPr>
                <w:rFonts w:ascii="Trebuchet MS" w:hAnsi="Trebuchet MS" w:cs="Arial"/>
                <w:sz w:val="18"/>
                <w:szCs w:val="18"/>
                <w:lang w:val="en-US"/>
              </w:rPr>
              <w:t xml:space="preserve">Teleprotection  device must have interface for switching to the high frequency channel</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Kaip numatyta įrenginio gamintojo kataloge</w:t>
            </w:r>
            <w:r>
              <w:rPr>
                <w:rFonts w:ascii="Trebuchet MS" w:hAnsi="Trebuchet MS" w:cs="Arial"/>
                <w:sz w:val="18"/>
                <w:szCs w:val="18"/>
                <w:vertAlign w:val="superscript"/>
              </w:rPr>
              <w:t xml:space="preserve"> a)</w:t>
            </w:r>
            <w:r>
              <w:rPr>
                <w:rFonts w:ascii="Trebuchet MS" w:hAnsi="Trebuchet MS" w:cs="Arial"/>
                <w:color w:val="000000"/>
                <w:sz w:val="18"/>
                <w:szCs w:val="18"/>
              </w:rPr>
              <w:t xml:space="preserve">/</w:t>
            </w:r>
            <w:r>
              <w:rPr>
                <w:sz w:val="18"/>
                <w:szCs w:val="18"/>
              </w:rPr>
              <w:t xml:space="preserve"> </w:t>
            </w:r>
            <w:r>
              <w:rPr>
                <w:rFonts w:ascii="Trebuchet MS" w:hAnsi="Trebuchet MS" w:cs="Arial"/>
                <w:color w:val="000000"/>
                <w:sz w:val="18"/>
                <w:szCs w:val="18"/>
                <w:lang w:val="en-US"/>
              </w:rPr>
              <w:t xml:space="preserve">As provided in the device manufacturer's catalog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color w:val="000000"/>
                <w:sz w:val="18"/>
                <w:szCs w:val="18"/>
              </w:rPr>
              <w:t xml:space="preserve">TPĮ serviso sąsaja turi būti su galimybe/ </w:t>
            </w:r>
            <w:r>
              <w:rPr>
                <w:rFonts w:ascii="Trebuchet MS" w:hAnsi="Trebuchet MS" w:cs="Arial"/>
                <w:sz w:val="18"/>
                <w:szCs w:val="18"/>
                <w:lang w:val="en-US"/>
              </w:rPr>
              <w:t xml:space="preserve">Teleprotection equipment service interface must be able</w:t>
            </w:r>
            <w:r>
              <w:rPr>
                <w:rFonts w:ascii="Trebuchet MS" w:hAnsi="Trebuchet MS" w:cs="Arial"/>
                <w:sz w:val="18"/>
                <w:szCs w:val="18"/>
              </w:rPr>
              <w:t xml:space="preserve"> </w:t>
            </w:r>
          </w:p>
        </w:tc>
        <w:tc>
          <w:tcPr>
            <w:tcW w:type="dxa" w:w="3687"/>
            <w:tcBorders/>
            <w:vAlign w:val="center"/>
          </w:tcPr>
          <w:p>
            <w:pPr>
              <w:spacing/>
              <w:jc w:val="center"/>
              <w:rPr>
                <w:rFonts w:ascii="Trebuchet MS" w:hAnsi="Trebuchet MS" w:cs="Arial"/>
                <w:bCs/>
                <w:sz w:val="18"/>
                <w:szCs w:val="18"/>
              </w:rPr>
            </w:pPr>
            <w:r>
              <w:rPr>
                <w:rFonts w:ascii="Trebuchet MS" w:hAnsi="Trebuchet MS" w:cs="Arial"/>
                <w:color w:val="000000"/>
                <w:sz w:val="18"/>
                <w:szCs w:val="18"/>
              </w:rPr>
              <w:t xml:space="preserve">Apsaugoti slaptažodžiu</w:t>
            </w:r>
            <w:r>
              <w:rPr>
                <w:rFonts w:ascii="Trebuchet MS" w:hAnsi="Trebuchet MS" w:cs="Arial"/>
                <w:sz w:val="18"/>
                <w:szCs w:val="18"/>
                <w:vertAlign w:val="superscript"/>
              </w:rPr>
              <w:t xml:space="preserve"> a)</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Protect with password</w:t>
            </w:r>
            <w:r>
              <w:rPr>
                <w:rFonts w:ascii="Trebuchet MS" w:hAnsi="Trebuchet MS" w:cs="Arial"/>
                <w:sz w:val="18"/>
                <w:szCs w:val="18"/>
                <w:vertAlign w:val="superscript"/>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Trebuchet MS" w:hAnsi="Trebuchet MS" w:cs="Arial"/>
                <w:b/>
                <w:color w:val="222222"/>
                <w:sz w:val="18"/>
                <w:szCs w:val="18"/>
              </w:rPr>
              <w:t xml:space="preserve">Telekomandų perdavimas tarp 330 kV transformatorinių pastočių ir skirstyklų/ </w:t>
            </w:r>
            <w:r>
              <w:rPr>
                <w:rFonts w:ascii="Trebuchet MS" w:hAnsi="Trebuchet MS" w:cs="Arial"/>
                <w:b/>
                <w:color w:val="222222"/>
                <w:sz w:val="18"/>
                <w:szCs w:val="18"/>
                <w:lang w:val="en-US"/>
              </w:rPr>
              <w:t xml:space="preserve">Telecommand‘s transmission between 330 kV transformers substations and switchyard</w:t>
            </w: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restart"/>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Telekomandų perdavimas 330 kV tinklo RAA reikmėms turi būti vykdomas dviem nepriklausomais, vienas nuo kito fiziškai atskirtais ryšio kanalais ir įranga.</w:t>
            </w:r>
          </w:p>
          <w:p>
            <w:pPr>
              <w:spacing/>
              <w:jc w:val="center"/>
              <w:rPr>
                <w:rFonts w:ascii="Trebuchet MS" w:hAnsi="Trebuchet MS" w:cs="Arial"/>
                <w:color w:val="000000"/>
                <w:sz w:val="18"/>
                <w:szCs w:val="18"/>
                <w:lang w:val="en-US"/>
              </w:rPr>
            </w:pPr>
            <w:r>
              <w:rPr>
                <w:rFonts w:ascii="Trebuchet MS" w:hAnsi="Trebuchet MS" w:cs="Arial"/>
                <w:color w:val="000000"/>
                <w:sz w:val="18"/>
                <w:szCs w:val="18"/>
              </w:rPr>
              <w:t xml:space="preserve">Pagal prioritetą, priklausomai nuo pastotėje ar skirstykloje esančios arba busimos ryšių infrastruktūros ir jos techninių galimybių, galimos A, B, C, D, E, F ryšio kanalų tipų kombinacijos:/ </w:t>
            </w:r>
            <w:r>
              <w:rPr>
                <w:rFonts w:ascii="Trebuchet MS" w:hAnsi="Trebuchet MS" w:cs="Arial"/>
                <w:color w:val="000000"/>
                <w:sz w:val="18"/>
                <w:szCs w:val="18"/>
                <w:lang w:val="en-US"/>
              </w:rPr>
              <w:t xml:space="preserve">Telecommand transfer for 330 kV grid relay protection and automation purposes shall be executed with two independent physically separate from each other communication channels and separate equipment.</w:t>
            </w:r>
          </w:p>
          <w:p>
            <w:pPr>
              <w:spacing/>
              <w:rPr>
                <w:rFonts w:ascii="Trebuchet MS" w:hAnsi="Trebuchet MS" w:cs="Arial"/>
                <w:color w:val="000000"/>
                <w:sz w:val="18"/>
                <w:szCs w:val="18"/>
              </w:rPr>
            </w:pPr>
            <w:r>
              <w:rPr>
                <w:rFonts w:ascii="Trebuchet MS" w:hAnsi="Trebuchet MS" w:cs="Arial"/>
                <w:color w:val="000000"/>
                <w:sz w:val="18"/>
                <w:szCs w:val="18"/>
                <w:lang w:val="en-US"/>
              </w:rPr>
              <w:t xml:space="preserve">By priority depending on the substation or switchyard of the communication infrastructure and its technical options or future plans A, B, C, D, E, F communication channel types can be available:</w:t>
            </w:r>
          </w:p>
        </w:tc>
        <w:tc>
          <w:tcPr>
            <w:tcW w:type="dxa" w:w="426"/>
            <w:vMerge w:val="restart"/>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A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jc w:val="center"/>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Aukšto dažnio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High frequency </w:t>
            </w:r>
            <w:r>
              <w:rPr>
                <w:rFonts w:ascii="Trebuchet MS" w:hAnsi="Trebuchet MS" w:cs="Arial"/>
                <w:sz w:val="18"/>
                <w:szCs w:val="18"/>
                <w:vertAlign w:val="superscript"/>
                <w:lang w:val="en-US"/>
              </w:rPr>
              <w:t xml:space="preserve">a</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jc w:val="center"/>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jc w:val="center"/>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Tiesiogine vienmodžio optinio kabelio skaidula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vertAlign w:val="superscript"/>
              </w:rPr>
              <w:t xml:space="preserve">2) </w:t>
            </w:r>
            <w:r>
              <w:rPr>
                <w:rFonts w:ascii="Trebuchet MS" w:hAnsi="Trebuchet MS" w:cs="Arial"/>
                <w:sz w:val="18"/>
                <w:szCs w:val="18"/>
              </w:rPr>
              <w:t xml:space="preserve">/ </w:t>
            </w:r>
            <w:r>
              <w:rPr>
                <w:rFonts w:ascii="Trebuchet MS" w:hAnsi="Trebuchet MS" w:cs="Arial"/>
                <w:sz w:val="18"/>
                <w:szCs w:val="18"/>
                <w:lang w:val="en-US"/>
              </w:rPr>
              <w:t xml:space="preserve">Direct single mode optical fiber cable </w:t>
            </w:r>
            <w:r>
              <w:rPr>
                <w:rFonts w:ascii="Trebuchet MS" w:hAnsi="Trebuchet MS" w:cs="Arial"/>
                <w:sz w:val="18"/>
                <w:szCs w:val="18"/>
                <w:vertAlign w:val="superscript"/>
                <w:lang w:val="en-US"/>
              </w:rPr>
              <w:t xml:space="preserve">2)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restart"/>
            <w:tcBorders/>
            <w:vAlign w:val="center"/>
          </w:tcPr>
          <w:p>
            <w:pPr>
              <w:spacing/>
              <w:rPr>
                <w:rFonts w:ascii="Trebuchet MS" w:hAnsi="Trebuchet MS" w:cs="Arial"/>
                <w:color w:val="000000"/>
                <w:sz w:val="18"/>
                <w:szCs w:val="18"/>
              </w:rPr>
            </w:pPr>
            <w:r>
              <w:rPr>
                <w:rFonts w:ascii="Trebuchet MS" w:hAnsi="Trebuchet MS" w:cs="Arial"/>
                <w:sz w:val="18"/>
                <w:szCs w:val="18"/>
              </w:rPr>
              <w:t xml:space="preserve">B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Aukšto dažnio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High frequency</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SD</w:t>
            </w:r>
            <w:r>
              <w:rPr>
                <w:rFonts w:ascii="Trebuchet MS" w:hAnsi="Trebuchet MS" w:cs="Arial"/>
                <w:sz w:val="18"/>
                <w:szCs w:val="18"/>
              </w:rPr>
              <w:t xml:space="preserve">P</w:t>
            </w:r>
            <w:r>
              <w:rPr>
                <w:rFonts w:ascii="Trebuchet MS" w:hAnsi="Trebuchet MS" w:cs="Arial"/>
                <w:sz w:val="18"/>
                <w:szCs w:val="18"/>
              </w:rPr>
              <w:t xml:space="preserve"> tinklas E1/ G703.6 sym.120Ω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w:t>
            </w:r>
            <w:r>
              <w:rPr>
                <w:rFonts w:ascii="Trebuchet MS" w:hAnsi="Trebuchet MS" w:cs="Arial"/>
                <w:color w:val="000000"/>
                <w:sz w:val="18"/>
                <w:szCs w:val="18"/>
              </w:rPr>
              <w:t xml:space="preserve"> nm</w:t>
            </w:r>
            <w:r>
              <w:rPr>
                <w:rFonts w:ascii="Trebuchet MS" w:hAnsi="Trebuchet MS" w:cs="Arial"/>
                <w:color w:val="000000"/>
                <w:sz w:val="18"/>
                <w:szCs w:val="18"/>
                <w:lang w:val="en-US"/>
              </w:rPr>
              <w:t xml:space="preserve"> </w:t>
            </w:r>
            <w:r>
              <w:rPr>
                <w:rFonts w:ascii="Trebuchet MS" w:hAnsi="Trebuchet MS" w:cs="Arial"/>
                <w:sz w:val="18"/>
                <w:szCs w:val="18"/>
              </w:rPr>
              <w:t xml:space="preserve">sąsaja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r>
              <w:rPr>
                <w:rFonts w:ascii="Trebuchet MS" w:hAnsi="Trebuchet MS" w:cs="Arial"/>
                <w:sz w:val="18"/>
                <w:szCs w:val="18"/>
              </w:rPr>
              <w:t xml:space="preserve">/ SDH </w:t>
            </w:r>
            <w:r>
              <w:rPr>
                <w:rFonts w:ascii="Trebuchet MS" w:hAnsi="Trebuchet MS" w:cs="Arial"/>
                <w:sz w:val="18"/>
                <w:szCs w:val="18"/>
                <w:lang w:val="en-US"/>
              </w:rPr>
              <w:t xml:space="preserve">network E1/ G703.6 sym.120Ω </w:t>
            </w:r>
            <w:r>
              <w:rPr>
                <w:rFonts w:ascii="Trebuchet MS" w:hAnsi="Trebuchet MS" w:cs="Arial"/>
                <w:sz w:val="18"/>
                <w:szCs w:val="18"/>
                <w:lang w:val="en-US"/>
              </w:rPr>
              <w:t xml:space="preserve">or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lang w:val="en-US"/>
              </w:rPr>
              <w:t xml:space="preserve"> </w:t>
            </w:r>
            <w:r>
              <w:rPr>
                <w:rFonts w:ascii="Trebuchet MS" w:hAnsi="Trebuchet MS" w:cs="Arial"/>
                <w:sz w:val="18"/>
                <w:szCs w:val="18"/>
                <w:lang w:val="en-US"/>
              </w:rPr>
              <w:t xml:space="preserve">interface</w:t>
            </w:r>
            <w:r>
              <w:rPr>
                <w:rFonts w:ascii="Trebuchet MS" w:hAnsi="Trebuchet MS" w:cs="Arial"/>
                <w:sz w:val="18"/>
                <w:szCs w:val="18"/>
              </w:rPr>
              <w:t xml:space="preserv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restart"/>
            <w:tcBorders/>
            <w:vAlign w:val="center"/>
          </w:tcPr>
          <w:p>
            <w:pPr>
              <w:spacing/>
              <w:rPr>
                <w:rFonts w:ascii="Trebuchet MS" w:hAnsi="Trebuchet MS" w:cs="Arial"/>
                <w:color w:val="000000"/>
                <w:sz w:val="18"/>
                <w:szCs w:val="18"/>
              </w:rPr>
            </w:pPr>
            <w:r>
              <w:rPr>
                <w:rFonts w:ascii="Trebuchet MS" w:hAnsi="Trebuchet MS" w:cs="Arial"/>
                <w:sz w:val="18"/>
                <w:szCs w:val="18"/>
              </w:rPr>
              <w:t xml:space="preserve">C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Aukšto dažnio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High frequency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Aukšto dažnio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High frequency </w:t>
            </w:r>
            <w:r>
              <w:rPr>
                <w:rFonts w:ascii="Trebuchet MS" w:hAnsi="Trebuchet MS" w:cs="Arial"/>
                <w:sz w:val="18"/>
                <w:szCs w:val="18"/>
                <w:vertAlign w:val="superscript"/>
                <w:lang w:val="en-US"/>
              </w:rPr>
              <w:t xml:space="preserve">a</w:t>
            </w:r>
            <w:r>
              <w:rPr>
                <w:rFonts w:ascii="Trebuchet MS" w:hAnsi="Trebuchet MS" w:cs="Arial"/>
                <w:sz w:val="18"/>
                <w:szCs w:val="18"/>
                <w:vertAlign w:val="superscript"/>
              </w:rPr>
              <w:t xml:space="preserve">)</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restart"/>
            <w:tcBorders/>
            <w:vAlign w:val="center"/>
          </w:tcPr>
          <w:p>
            <w:pPr>
              <w:spacing/>
              <w:rPr>
                <w:rFonts w:ascii="Trebuchet MS" w:hAnsi="Trebuchet MS" w:cs="Arial"/>
                <w:color w:val="000000"/>
                <w:sz w:val="18"/>
                <w:szCs w:val="18"/>
              </w:rPr>
            </w:pPr>
            <w:r>
              <w:rPr>
                <w:rFonts w:ascii="Trebuchet MS" w:hAnsi="Trebuchet MS" w:cs="Arial"/>
                <w:sz w:val="18"/>
                <w:szCs w:val="18"/>
              </w:rPr>
              <w:t xml:space="preserve">D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Tiesiogine vienmodžio optinio kabelio skaidula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vertAlign w:val="superscript"/>
              </w:rPr>
              <w:t xml:space="preserve">2) </w:t>
            </w:r>
            <w:r>
              <w:rPr>
                <w:rFonts w:ascii="Trebuchet MS" w:hAnsi="Trebuchet MS" w:cs="Arial"/>
                <w:sz w:val="18"/>
                <w:szCs w:val="18"/>
              </w:rPr>
              <w:t xml:space="preserve">/ </w:t>
            </w:r>
            <w:r>
              <w:rPr>
                <w:rFonts w:ascii="Trebuchet MS" w:hAnsi="Trebuchet MS" w:cs="Arial"/>
                <w:sz w:val="18"/>
                <w:szCs w:val="18"/>
                <w:lang w:val="en-US"/>
              </w:rPr>
              <w:t xml:space="preserve">Direct single mode optical fiber cable </w:t>
            </w:r>
            <w:r>
              <w:rPr>
                <w:rFonts w:ascii="Trebuchet MS" w:hAnsi="Trebuchet MS" w:cs="Arial"/>
                <w:sz w:val="18"/>
                <w:szCs w:val="18"/>
                <w:vertAlign w:val="superscript"/>
                <w:lang w:val="en-US"/>
              </w:rPr>
              <w:t xml:space="preserve">a) 2) </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SD</w:t>
            </w:r>
            <w:r>
              <w:rPr>
                <w:rFonts w:ascii="Trebuchet MS" w:hAnsi="Trebuchet MS" w:cs="Arial"/>
                <w:sz w:val="18"/>
                <w:szCs w:val="18"/>
              </w:rPr>
              <w:t xml:space="preserve">P</w:t>
            </w:r>
            <w:r>
              <w:rPr>
                <w:rFonts w:ascii="Trebuchet MS" w:hAnsi="Trebuchet MS" w:cs="Arial"/>
                <w:sz w:val="18"/>
                <w:szCs w:val="18"/>
              </w:rPr>
              <w:t xml:space="preserve"> </w:t>
            </w:r>
            <w:r>
              <w:rPr>
                <w:rFonts w:ascii="Trebuchet MS" w:hAnsi="Trebuchet MS" w:cs="Arial"/>
                <w:sz w:val="18"/>
                <w:szCs w:val="18"/>
              </w:rPr>
              <w:t xml:space="preserve">tinklas E1/ G703.6 sym.120Ω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rPr>
              <w:t xml:space="preserve">sąsaja (fiziškai nesusijęs su pirmojo kanalo optiniu kabeliu)</w:t>
            </w:r>
            <w:r>
              <w:rPr>
                <w:rFonts w:ascii="Trebuchet MS" w:hAnsi="Trebuchet MS" w:cs="Arial"/>
                <w:color w:val="000000"/>
                <w:sz w:val="18"/>
                <w:szCs w:val="18"/>
                <w:vertAlign w:val="superscript"/>
                <w:lang w:val="en-US"/>
              </w:rPr>
              <w:t xml:space="preserve"> 3)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SDH network E1/ G703.6 sym.120Ω </w:t>
            </w:r>
            <w:r>
              <w:rPr>
                <w:rFonts w:ascii="Trebuchet MS" w:hAnsi="Trebuchet MS" w:cs="Arial"/>
                <w:sz w:val="18"/>
                <w:szCs w:val="18"/>
                <w:lang w:val="en-US"/>
              </w:rPr>
              <w:t xml:space="preserve">or </w:t>
            </w:r>
            <w:r>
              <w:rPr>
                <w:rFonts w:ascii="Trebuchet MS" w:hAnsi="Trebuchet MS" w:cs="Arial"/>
                <w:color w:val="000000"/>
                <w:sz w:val="18"/>
                <w:szCs w:val="18"/>
              </w:rPr>
              <w:t xml:space="preserve">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lang w:val="en-US"/>
              </w:rPr>
              <w:t xml:space="preserve">interface (physically unconnected with the first channel optical cable)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restart"/>
            <w:tcBorders/>
            <w:vAlign w:val="center"/>
          </w:tcPr>
          <w:p>
            <w:pPr>
              <w:spacing/>
              <w:rPr>
                <w:rFonts w:ascii="Trebuchet MS" w:hAnsi="Trebuchet MS" w:cs="Arial"/>
                <w:color w:val="000000"/>
                <w:sz w:val="18"/>
                <w:szCs w:val="18"/>
              </w:rPr>
            </w:pPr>
            <w:r>
              <w:rPr>
                <w:rFonts w:ascii="Trebuchet MS" w:hAnsi="Trebuchet MS" w:cs="Arial"/>
                <w:sz w:val="18"/>
                <w:szCs w:val="18"/>
              </w:rPr>
              <w:t xml:space="preserve">E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SD</w:t>
            </w:r>
            <w:r>
              <w:rPr>
                <w:rFonts w:ascii="Trebuchet MS" w:hAnsi="Trebuchet MS" w:cs="Arial"/>
                <w:sz w:val="18"/>
                <w:szCs w:val="18"/>
              </w:rPr>
              <w:t xml:space="preserve">P</w:t>
            </w:r>
            <w:r>
              <w:rPr>
                <w:rFonts w:ascii="Trebuchet MS" w:hAnsi="Trebuchet MS" w:cs="Arial"/>
                <w:sz w:val="18"/>
                <w:szCs w:val="18"/>
              </w:rPr>
              <w:t xml:space="preserve"> </w:t>
            </w:r>
            <w:r>
              <w:rPr>
                <w:rFonts w:ascii="Trebuchet MS" w:hAnsi="Trebuchet MS" w:cs="Arial"/>
                <w:sz w:val="18"/>
                <w:szCs w:val="18"/>
              </w:rPr>
              <w:t xml:space="preserve">tinklas E1/ G703.6 sym.120Ω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rPr>
              <w:t xml:space="preserve">sąsaja (fiziškai nesusijęs su antrojo kanalo optiniu kabeliu)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SDH network E1/ G703.6 sym.120Ω </w:t>
            </w:r>
            <w:r>
              <w:rPr>
                <w:rFonts w:ascii="Trebuchet MS" w:hAnsi="Trebuchet MS" w:cs="Arial"/>
                <w:sz w:val="18"/>
                <w:szCs w:val="18"/>
                <w:lang w:val="en-US"/>
              </w:rPr>
              <w:t xml:space="preserve">or </w:t>
            </w:r>
            <w:r>
              <w:rPr>
                <w:rFonts w:ascii="Trebuchet MS" w:hAnsi="Trebuchet MS" w:cs="Arial"/>
                <w:color w:val="000000"/>
                <w:sz w:val="18"/>
                <w:szCs w:val="18"/>
              </w:rPr>
              <w:t xml:space="preserve">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lang w:val="en-US"/>
              </w:rPr>
              <w:t xml:space="preserve">interface (physically unconnected with the second channel optical cable)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SD</w:t>
            </w:r>
            <w:r>
              <w:rPr>
                <w:rFonts w:ascii="Trebuchet MS" w:hAnsi="Trebuchet MS" w:cs="Arial"/>
                <w:sz w:val="18"/>
                <w:szCs w:val="18"/>
              </w:rPr>
              <w:t xml:space="preserve">P</w:t>
            </w:r>
            <w:r>
              <w:rPr>
                <w:rFonts w:ascii="Trebuchet MS" w:hAnsi="Trebuchet MS" w:cs="Arial"/>
                <w:sz w:val="18"/>
                <w:szCs w:val="18"/>
              </w:rPr>
              <w:t xml:space="preserve"> </w:t>
            </w:r>
            <w:r>
              <w:rPr>
                <w:rFonts w:ascii="Trebuchet MS" w:hAnsi="Trebuchet MS" w:cs="Arial"/>
                <w:sz w:val="18"/>
                <w:szCs w:val="18"/>
              </w:rPr>
              <w:t xml:space="preserve">tinklas E1/ G703.6 sym.120Ω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rPr>
              <w:t xml:space="preserve">sąsaja (fiziškai nesusijęs su pirmojo kanalo optiniu kabeliu)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lang w:val="en-US"/>
              </w:rPr>
              <w:t xml:space="preserve">SDH network E1/ G703.6 sym.120Ω </w:t>
            </w:r>
            <w:r>
              <w:rPr>
                <w:rFonts w:ascii="Trebuchet MS" w:hAnsi="Trebuchet MS" w:cs="Arial"/>
                <w:sz w:val="18"/>
                <w:szCs w:val="18"/>
                <w:lang w:val="en-US"/>
              </w:rPr>
              <w:t xml:space="preserve">or </w:t>
            </w:r>
            <w:r>
              <w:rPr>
                <w:rFonts w:ascii="Trebuchet MS" w:hAnsi="Trebuchet MS" w:cs="Arial"/>
                <w:color w:val="000000"/>
                <w:sz w:val="18"/>
                <w:szCs w:val="18"/>
              </w:rPr>
              <w:t xml:space="preserve">C37.94 MM </w:t>
            </w:r>
            <w:r>
              <w:rPr>
                <w:rFonts w:ascii="Trebuchet MS" w:hAnsi="Trebuchet MS" w:cs="Arial"/>
                <w:color w:val="000000"/>
                <w:sz w:val="18"/>
                <w:szCs w:val="18"/>
              </w:rPr>
              <w:t xml:space="preserve">820-850 nm</w:t>
            </w:r>
            <w:r>
              <w:rPr>
                <w:rFonts w:ascii="Trebuchet MS" w:hAnsi="Trebuchet MS" w:cs="Arial"/>
                <w:color w:val="000000"/>
                <w:sz w:val="18"/>
                <w:szCs w:val="18"/>
              </w:rPr>
              <w:t xml:space="preserve"> </w:t>
            </w:r>
            <w:r>
              <w:rPr>
                <w:rFonts w:ascii="Trebuchet MS" w:hAnsi="Trebuchet MS" w:cs="Arial"/>
                <w:sz w:val="18"/>
                <w:szCs w:val="18"/>
                <w:lang w:val="en-US"/>
              </w:rPr>
              <w:t xml:space="preserve">interface (physically unconnected with the first channel optical cable)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lang w:val="en-US"/>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restart"/>
            <w:tcBorders/>
            <w:vAlign w:val="center"/>
          </w:tcPr>
          <w:p>
            <w:pPr>
              <w:spacing/>
              <w:rPr>
                <w:rFonts w:ascii="Trebuchet MS" w:hAnsi="Trebuchet MS" w:cs="Arial"/>
                <w:color w:val="000000"/>
                <w:sz w:val="18"/>
                <w:szCs w:val="18"/>
              </w:rPr>
            </w:pPr>
            <w:r>
              <w:rPr>
                <w:rFonts w:ascii="Trebuchet MS" w:hAnsi="Trebuchet MS" w:cs="Arial"/>
                <w:sz w:val="18"/>
                <w:szCs w:val="18"/>
              </w:rPr>
              <w:t xml:space="preserve">F </w:t>
            </w:r>
            <w:r>
              <w:rPr>
                <w:rFonts w:ascii="Trebuchet MS" w:hAnsi="Trebuchet MS" w:cs="Arial"/>
                <w:sz w:val="18"/>
                <w:szCs w:val="18"/>
                <w:vertAlign w:val="superscript"/>
              </w:rPr>
              <w:t xml:space="preserve">3)</w:t>
            </w: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1 kanalas/ </w:t>
            </w:r>
          </w:p>
          <w:p>
            <w:pPr>
              <w:spacing/>
              <w:rPr>
                <w:rFonts w:ascii="Trebuchet MS" w:hAnsi="Trebuchet MS" w:cs="Arial"/>
                <w:color w:val="000000"/>
                <w:sz w:val="18"/>
                <w:szCs w:val="18"/>
              </w:rPr>
            </w:pPr>
            <w:r>
              <w:rPr>
                <w:rFonts w:ascii="Trebuchet MS" w:hAnsi="Trebuchet MS" w:cs="Arial"/>
                <w:sz w:val="18"/>
                <w:szCs w:val="18"/>
              </w:rPr>
              <w:t xml:space="preserve">1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Tiesiogine vienmodžio optinio kabelio skaidula (fiziškai nesusijęs su antrojo kanalo optiniu kabeliu) </w:t>
            </w:r>
            <w:r>
              <w:rPr>
                <w:rFonts w:ascii="Trebuchet MS" w:hAnsi="Trebuchet MS" w:cs="Arial"/>
                <w:sz w:val="18"/>
                <w:szCs w:val="18"/>
                <w:vertAlign w:val="superscript"/>
              </w:rPr>
              <w:t xml:space="preserve">a)</w:t>
            </w:r>
            <w:r>
              <w:rPr>
                <w:rFonts w:ascii="Trebuchet MS" w:hAnsi="Trebuchet MS" w:cs="Arial"/>
                <w:sz w:val="18"/>
                <w:szCs w:val="18"/>
              </w:rPr>
              <w:t xml:space="preserve"> </w:t>
            </w:r>
            <w:r>
              <w:rPr>
                <w:rFonts w:ascii="Trebuchet MS" w:hAnsi="Trebuchet MS" w:cs="Arial"/>
                <w:sz w:val="18"/>
                <w:szCs w:val="18"/>
                <w:vertAlign w:val="superscript"/>
              </w:rPr>
              <w:t xml:space="preserve">2)</w:t>
            </w:r>
            <w:r>
              <w:rPr>
                <w:rFonts w:ascii="Trebuchet MS" w:hAnsi="Trebuchet MS" w:cs="Arial"/>
                <w:sz w:val="18"/>
                <w:szCs w:val="18"/>
              </w:rPr>
              <w:t xml:space="preserve">/ </w:t>
            </w:r>
            <w:r>
              <w:rPr>
                <w:rFonts w:ascii="Trebuchet MS" w:hAnsi="Trebuchet MS" w:cs="Arial"/>
                <w:sz w:val="18"/>
                <w:szCs w:val="18"/>
                <w:lang w:val="en-US"/>
              </w:rPr>
              <w:t xml:space="preserve">Direct single mode optical fiber cable (physically unconnected with the second channel optical cable) </w:t>
            </w:r>
            <w:r>
              <w:rPr>
                <w:rFonts w:ascii="Trebuchet MS" w:hAnsi="Trebuchet MS" w:cs="Arial"/>
                <w:sz w:val="18"/>
                <w:szCs w:val="18"/>
                <w:vertAlign w:val="superscript"/>
              </w:rPr>
              <w:t xml:space="preserve">a) </w:t>
            </w:r>
            <w:r>
              <w:rPr>
                <w:rFonts w:ascii="Trebuchet MS" w:hAnsi="Trebuchet MS" w:cs="Arial"/>
                <w:sz w:val="18"/>
                <w:szCs w:val="18"/>
                <w:vertAlign w:val="superscript"/>
                <w:lang w:val="en-US"/>
              </w:rPr>
              <w:t xml:space="preserve">2) </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1984"/>
            <w:vMerge w:val="continue"/>
            <w:tcBorders/>
            <w:vAlign w:val="center"/>
          </w:tcPr>
          <w:p>
            <w:pPr>
              <w:spacing/>
              <w:rPr>
                <w:rFonts w:ascii="Trebuchet MS" w:hAnsi="Trebuchet MS" w:cs="Arial"/>
                <w:color w:val="000000"/>
                <w:sz w:val="18"/>
                <w:szCs w:val="18"/>
              </w:rPr>
            </w:pPr>
          </w:p>
        </w:tc>
        <w:tc>
          <w:tcPr>
            <w:tcW w:type="dxa" w:w="426"/>
            <w:vMerge w:val="continue"/>
            <w:tcBorders/>
            <w:vAlign w:val="center"/>
          </w:tcPr>
          <w:p>
            <w:pPr>
              <w:spacing/>
              <w:rPr>
                <w:rFonts w:ascii="Trebuchet MS" w:hAnsi="Trebuchet MS" w:cs="Arial"/>
                <w:color w:val="000000"/>
                <w:sz w:val="18"/>
                <w:szCs w:val="18"/>
              </w:rPr>
            </w:pPr>
          </w:p>
        </w:tc>
        <w:tc>
          <w:tcPr>
            <w:tcW w:type="dxa" w:w="1136"/>
            <w:gridSpan w:val="2"/>
            <w:tcBorders/>
            <w:vAlign w:val="center"/>
          </w:tcPr>
          <w:p>
            <w:pPr>
              <w:spacing/>
              <w:rPr>
                <w:rFonts w:ascii="Trebuchet MS" w:hAnsi="Trebuchet MS" w:cs="Arial"/>
                <w:sz w:val="18"/>
                <w:szCs w:val="18"/>
              </w:rPr>
            </w:pPr>
            <w:r>
              <w:rPr>
                <w:rFonts w:ascii="Trebuchet MS" w:hAnsi="Trebuchet MS" w:cs="Arial"/>
                <w:sz w:val="18"/>
                <w:szCs w:val="18"/>
              </w:rPr>
              <w:t xml:space="preserve">2 kanalas/ </w:t>
            </w:r>
          </w:p>
          <w:p>
            <w:pPr>
              <w:spacing/>
              <w:rPr>
                <w:rFonts w:ascii="Trebuchet MS" w:hAnsi="Trebuchet MS" w:cs="Arial"/>
                <w:color w:val="000000"/>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channel</w:t>
            </w:r>
          </w:p>
        </w:tc>
        <w:tc>
          <w:tcPr>
            <w:tcW w:type="dxa" w:w="3687"/>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Tiesiogine vienmodžio optinio kabelio skaidula (fiziškai nesusijęs su pirmojo kanalo optiniu kabeliu) </w:t>
            </w:r>
            <w:r>
              <w:rPr>
                <w:rFonts w:ascii="Trebuchet MS" w:hAnsi="Trebuchet MS" w:cs="Arial"/>
                <w:sz w:val="18"/>
                <w:szCs w:val="18"/>
                <w:vertAlign w:val="superscript"/>
              </w:rPr>
              <w:t xml:space="preserve">a) 2) </w:t>
            </w:r>
            <w:r>
              <w:rPr>
                <w:rFonts w:ascii="Trebuchet MS" w:hAnsi="Trebuchet MS" w:cs="Arial"/>
                <w:sz w:val="18"/>
                <w:szCs w:val="18"/>
              </w:rPr>
              <w:t xml:space="preserve">/ </w:t>
            </w:r>
            <w:r>
              <w:rPr>
                <w:rFonts w:ascii="Trebuchet MS" w:hAnsi="Trebuchet MS" w:cs="Arial"/>
                <w:sz w:val="18"/>
                <w:szCs w:val="18"/>
                <w:lang w:val="en-US"/>
              </w:rPr>
              <w:t xml:space="preserve">Direct single mode optical fiber cable (physically unconnected with the first channel optical cable)</w:t>
            </w:r>
            <w:r>
              <w:rPr>
                <w:rFonts w:ascii="Trebuchet MS" w:hAnsi="Trebuchet MS" w:cs="Arial"/>
                <w:sz w:val="18"/>
                <w:szCs w:val="18"/>
              </w:rPr>
              <w:t xml:space="preserve"> </w:t>
            </w:r>
            <w:r>
              <w:rPr>
                <w:rFonts w:ascii="Trebuchet MS" w:hAnsi="Trebuchet MS" w:cs="Arial"/>
                <w:sz w:val="18"/>
                <w:szCs w:val="18"/>
                <w:vertAlign w:val="superscript"/>
              </w:rPr>
              <w:t xml:space="preserve">a) 2)</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sz w:val="18"/>
                <w:szCs w:val="18"/>
              </w:rPr>
            </w:pPr>
            <w:r>
              <w:rPr>
                <w:rFonts w:ascii="Trebuchet MS" w:hAnsi="Trebuchet MS" w:cs="Arial"/>
                <w:sz w:val="18"/>
                <w:szCs w:val="18"/>
              </w:rPr>
              <w:t xml:space="preserve">Perduodamų telekomandų skaičius telekomandų perdavimo įrenginiu (TPĮ) turi būti ne mažesnis kaip 1)/ Transmitted telecommands number with teleprotection equipment shall be not less than 1)</w:t>
            </w:r>
          </w:p>
        </w:tc>
        <w:tc>
          <w:tcPr>
            <w:tcW w:type="dxa" w:w="3687"/>
            <w:tcBorders/>
            <w:vAlign w:val="center"/>
          </w:tcPr>
          <w:p>
            <w:pPr>
              <w:pStyle w:val="Default"/>
              <w:spacing/>
              <w:jc w:val="center"/>
              <w:rPr>
                <w:rFonts w:ascii="Trebuchet MS" w:hAnsi="Trebuchet MS" w:cs="Arial"/>
                <w:color w:val="auto"/>
                <w:sz w:val="18"/>
                <w:szCs w:val="18"/>
              </w:rPr>
            </w:pPr>
            <w:r>
              <w:rPr>
                <w:rFonts w:ascii="Trebuchet MS" w:hAnsi="Trebuchet MS" w:cs="Arial"/>
                <w:color w:val="auto"/>
                <w:sz w:val="18"/>
                <w:szCs w:val="18"/>
              </w:rPr>
              <w:t xml:space="preserve">4 komandos a)/</w:t>
            </w:r>
          </w:p>
          <w:p>
            <w:pPr>
              <w:spacing/>
              <w:jc w:val="center"/>
              <w:rPr>
                <w:rFonts w:ascii="Trebuchet MS" w:hAnsi="Trebuchet MS" w:cs="Arial"/>
                <w:sz w:val="18"/>
                <w:szCs w:val="18"/>
              </w:rPr>
            </w:pPr>
            <w:r>
              <w:rPr>
                <w:rFonts w:ascii="Trebuchet MS" w:hAnsi="Trebuchet MS" w:cs="Arial"/>
                <w:sz w:val="18"/>
                <w:szCs w:val="18"/>
              </w:rPr>
              <w:t xml:space="preserve">4 commands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sz w:val="18"/>
                <w:szCs w:val="18"/>
              </w:rPr>
            </w:pPr>
            <w:r>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pPr>
              <w:spacing/>
              <w:rPr>
                <w:rFonts w:ascii="Trebuchet MS" w:hAnsi="Trebuchet MS" w:cs="Arial"/>
                <w:sz w:val="18"/>
                <w:szCs w:val="18"/>
              </w:rPr>
            </w:pPr>
          </w:p>
        </w:tc>
        <w:tc>
          <w:tcPr>
            <w:tcW w:type="dxa" w:w="3687"/>
            <w:tcBorders/>
            <w:vAlign w:val="center"/>
          </w:tcPr>
          <w:p>
            <w:pPr>
              <w:spacing/>
              <w:jc w:val="center"/>
              <w:rPr>
                <w:rFonts w:ascii="Trebuchet MS" w:hAnsi="Trebuchet MS" w:cs="Arial"/>
                <w:sz w:val="18"/>
                <w:szCs w:val="18"/>
              </w:rPr>
            </w:pPr>
            <w:r>
              <w:rPr>
                <w:rFonts w:ascii="Trebuchet MS" w:hAnsi="Trebuchet MS" w:cs="Arial"/>
                <w:sz w:val="18"/>
                <w:szCs w:val="18"/>
              </w:rPr>
              <w:t xml:space="preserve">Registruojami TPĮ integruotame įvykių registratoriuje a)/ recorded in the teleprotection equipment integrated recorder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4"/>
              </w:numPr>
              <w:spacing/>
              <w:jc w:val="center"/>
              <w:rPr>
                <w:rFonts w:ascii="Trebuchet MS" w:hAnsi="Trebuchet MS"/>
                <w:b/>
                <w:bCs/>
                <w:sz w:val="18"/>
                <w:szCs w:val="18"/>
              </w:rPr>
            </w:pPr>
          </w:p>
        </w:tc>
        <w:tc>
          <w:tcPr>
            <w:tcW w:type="dxa" w:w="14317"/>
            <w:gridSpan w:val="8"/>
            <w:tcBorders/>
            <w:vAlign w:val="center"/>
          </w:tcPr>
          <w:p>
            <w:pPr>
              <w:spacing/>
              <w:jc w:val="center"/>
              <w:rPr>
                <w:rFonts w:ascii="Trebuchet MS" w:hAnsi="Trebuchet MS"/>
                <w:sz w:val="18"/>
                <w:szCs w:val="18"/>
              </w:rPr>
            </w:pPr>
            <w:r>
              <w:rPr>
                <w:rFonts w:ascii="Trebuchet MS" w:hAnsi="Trebuchet MS" w:cs="Arial"/>
                <w:b/>
                <w:sz w:val="18"/>
                <w:szCs w:val="18"/>
              </w:rPr>
              <w:t xml:space="preserve">Telekomandų perdavimas tarp 110 kV transformatorinių pastočių ir skirstyklų/ </w:t>
            </w:r>
            <w:r>
              <w:rPr>
                <w:rFonts w:ascii="Trebuchet MS" w:hAnsi="Trebuchet MS" w:cs="Arial"/>
                <w:b/>
                <w:sz w:val="18"/>
                <w:szCs w:val="18"/>
                <w:lang w:val="en-US"/>
              </w:rPr>
              <w:t xml:space="preserve">Telecommand‘s transmission between 110 kV transformers substations and switchyard</w:t>
            </w:r>
          </w:p>
        </w:tc>
      </w:tr>
      <w:tr>
        <w:trPr>
          <w:cantSplit/>
        </w:trPr>
        <w:tc>
          <w:tcPr>
            <w:tcW w:type="dxa" w:w="846"/>
            <w:vMerge w:val="restart"/>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2977"/>
            <w:gridSpan w:val="3"/>
            <w:vMerge w:val="restart"/>
            <w:tcBorders/>
            <w:vAlign w:val="center"/>
          </w:tcPr>
          <w:p>
            <w:pPr>
              <w:spacing/>
              <w:jc w:val="both"/>
              <w:rPr>
                <w:rFonts w:ascii="Trebuchet MS" w:hAnsi="Trebuchet MS" w:cs="Arial"/>
                <w:sz w:val="18"/>
                <w:szCs w:val="18"/>
              </w:rPr>
            </w:pPr>
            <w:r>
              <w:rPr>
                <w:rFonts w:ascii="Trebuchet MS" w:hAnsi="Trebuchet MS" w:cs="Arial"/>
                <w:sz w:val="18"/>
                <w:szCs w:val="18"/>
              </w:rPr>
              <w:t xml:space="preserve">Telekomandų perdavimas 110 kV tinklo RAA reikmėms turi būti vykdomas vienu nepriklausomu ryšio kanalu.</w:t>
            </w:r>
          </w:p>
          <w:p>
            <w:pPr>
              <w:spacing/>
              <w:jc w:val="both"/>
              <w:rPr>
                <w:rFonts w:ascii="Trebuchet MS" w:hAnsi="Trebuchet MS" w:cs="Arial"/>
                <w:sz w:val="18"/>
                <w:szCs w:val="18"/>
              </w:rPr>
            </w:pPr>
            <w:r>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Pr>
                <w:rFonts w:ascii="Trebuchet MS" w:hAnsi="Trebuchet MS" w:cs="Arial"/>
                <w:sz w:val="18"/>
                <w:szCs w:val="18"/>
                <w:lang w:val="en-GB"/>
              </w:rPr>
              <w:t xml:space="preserve">Telecommand transfer in 110 kV grid for relay protection and automation purposes shall be executed by one independent reserved communication channel</w:t>
            </w:r>
            <w:r>
              <w:rPr>
                <w:rFonts w:ascii="Trebuchet MS" w:hAnsi="Trebuchet MS" w:cs="Arial"/>
                <w:sz w:val="18"/>
                <w:szCs w:val="18"/>
              </w:rPr>
              <w:t xml:space="preserve">.</w:t>
            </w:r>
          </w:p>
          <w:p>
            <w:pPr>
              <w:spacing/>
              <w:rPr>
                <w:rFonts w:ascii="Trebuchet MS" w:hAnsi="Trebuchet MS" w:cs="Arial"/>
                <w:color w:val="000000"/>
                <w:sz w:val="18"/>
                <w:szCs w:val="18"/>
              </w:rPr>
            </w:pPr>
            <w:r>
              <w:rPr>
                <w:rFonts w:ascii="Trebuchet MS" w:hAnsi="Trebuchet MS" w:cs="Arial"/>
                <w:sz w:val="18"/>
                <w:szCs w:val="18"/>
                <w:lang w:val="en-GB"/>
              </w:rPr>
              <w:t xml:space="preserve">By priority depending on the substation or switchyard communication infrastructure or future plans and its technical options A, B communication channel types can be available</w:t>
            </w:r>
            <w:r>
              <w:rPr>
                <w:rFonts w:ascii="Trebuchet MS" w:hAnsi="Trebuchet MS" w:cs="Arial"/>
                <w:sz w:val="18"/>
                <w:szCs w:val="18"/>
              </w:rPr>
              <w:t xml:space="preserve">:</w:t>
            </w:r>
          </w:p>
        </w:tc>
        <w:tc>
          <w:tcPr>
            <w:tcW w:type="dxa" w:w="569"/>
            <w:tcBorders/>
            <w:vAlign w:val="center"/>
          </w:tcPr>
          <w:p>
            <w:pPr>
              <w:spacing/>
              <w:rPr>
                <w:rFonts w:ascii="Trebuchet MS" w:hAnsi="Trebuchet MS" w:cs="Arial"/>
                <w:color w:val="000000"/>
                <w:sz w:val="18"/>
                <w:szCs w:val="18"/>
              </w:rPr>
            </w:pPr>
            <w:r>
              <w:rPr>
                <w:rFonts w:ascii="Trebuchet MS" w:hAnsi="Trebuchet MS" w:cs="Arial"/>
                <w:sz w:val="18"/>
                <w:szCs w:val="18"/>
              </w:rPr>
              <w:t xml:space="preserve">A </w:t>
            </w:r>
            <w:r>
              <w:rPr>
                <w:rFonts w:ascii="Trebuchet MS" w:hAnsi="Trebuchet MS" w:cs="Arial"/>
                <w:sz w:val="18"/>
                <w:szCs w:val="18"/>
                <w:vertAlign w:val="superscript"/>
              </w:rPr>
              <w:t xml:space="preserve">3)</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Tiesiogine vienmodžio optinio kabelio skaidula</w:t>
            </w:r>
            <w:r>
              <w:rPr>
                <w:rFonts w:ascii="Trebuchet MS" w:hAnsi="Trebuchet MS" w:cs="Arial"/>
                <w:sz w:val="18"/>
                <w:szCs w:val="18"/>
                <w:vertAlign w:val="superscript"/>
              </w:rPr>
              <w:t xml:space="preserve"> a) 2)</w:t>
            </w:r>
            <w:r>
              <w:rPr>
                <w:rFonts w:ascii="Trebuchet MS" w:hAnsi="Trebuchet MS" w:cs="Arial"/>
                <w:sz w:val="18"/>
                <w:szCs w:val="18"/>
              </w:rPr>
              <w:t xml:space="preserve">/ </w:t>
            </w:r>
            <w:r>
              <w:rPr>
                <w:rFonts w:ascii="Trebuchet MS" w:hAnsi="Trebuchet MS" w:cs="Arial"/>
                <w:sz w:val="18"/>
                <w:szCs w:val="18"/>
                <w:lang w:val="en-US"/>
              </w:rPr>
              <w:t xml:space="preserve">Direct single mode optical fiber cable</w:t>
            </w:r>
            <w:r>
              <w:rPr>
                <w:rFonts w:ascii="Trebuchet MS" w:hAnsi="Trebuchet MS" w:cs="Arial"/>
                <w:sz w:val="18"/>
                <w:szCs w:val="18"/>
              </w:rPr>
              <w:t xml:space="preserve"> </w:t>
            </w:r>
            <w:r>
              <w:rPr>
                <w:rFonts w:ascii="Trebuchet MS" w:hAnsi="Trebuchet MS" w:cs="Arial"/>
                <w:sz w:val="18"/>
                <w:szCs w:val="18"/>
                <w:vertAlign w:val="superscript"/>
              </w:rPr>
              <w:t xml:space="preserve"> a) 2)</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vMerge w:val="continue"/>
            <w:tcBorders/>
            <w:vAlign w:val="center"/>
          </w:tcPr>
          <w:p>
            <w:pPr>
              <w:spacing/>
              <w:jc w:val="center"/>
              <w:rPr>
                <w:rFonts w:ascii="Trebuchet MS" w:hAnsi="Trebuchet MS"/>
                <w:b/>
                <w:bCs/>
                <w:sz w:val="18"/>
                <w:szCs w:val="18"/>
              </w:rPr>
            </w:pPr>
          </w:p>
        </w:tc>
        <w:tc>
          <w:tcPr>
            <w:tcW w:type="dxa" w:w="2977"/>
            <w:gridSpan w:val="3"/>
            <w:vMerge w:val="continue"/>
            <w:tcBorders/>
            <w:vAlign w:val="center"/>
          </w:tcPr>
          <w:p>
            <w:pPr>
              <w:spacing/>
              <w:rPr>
                <w:rFonts w:ascii="Trebuchet MS" w:hAnsi="Trebuchet MS" w:cs="Arial"/>
                <w:color w:val="000000"/>
                <w:sz w:val="18"/>
                <w:szCs w:val="18"/>
              </w:rPr>
            </w:pPr>
          </w:p>
        </w:tc>
        <w:tc>
          <w:tcPr>
            <w:tcW w:type="dxa" w:w="569"/>
            <w:tcBorders/>
            <w:vAlign w:val="center"/>
          </w:tcPr>
          <w:p>
            <w:pPr>
              <w:spacing/>
              <w:rPr>
                <w:rFonts w:ascii="Trebuchet MS" w:hAnsi="Trebuchet MS" w:cs="Arial"/>
                <w:color w:val="000000"/>
                <w:sz w:val="18"/>
                <w:szCs w:val="18"/>
              </w:rPr>
            </w:pPr>
            <w:r>
              <w:rPr>
                <w:rFonts w:ascii="Trebuchet MS" w:hAnsi="Trebuchet MS" w:cs="Arial"/>
                <w:sz w:val="18"/>
                <w:szCs w:val="18"/>
              </w:rPr>
              <w:t xml:space="preserve">B </w:t>
            </w:r>
            <w:r>
              <w:rPr>
                <w:rFonts w:ascii="Trebuchet MS" w:hAnsi="Trebuchet MS" w:cs="Arial"/>
                <w:sz w:val="18"/>
                <w:szCs w:val="18"/>
                <w:vertAlign w:val="superscript"/>
              </w:rPr>
              <w:t xml:space="preserve">3)</w:t>
            </w:r>
          </w:p>
        </w:tc>
        <w:tc>
          <w:tcPr>
            <w:tcW w:type="dxa" w:w="3687"/>
            <w:tcBorders/>
            <w:vAlign w:val="center"/>
          </w:tcPr>
          <w:p>
            <w:pPr>
              <w:spacing/>
              <w:jc w:val="center"/>
              <w:rPr>
                <w:rFonts w:ascii="Trebuchet MS" w:hAnsi="Trebuchet MS" w:cs="Arial"/>
                <w:bCs/>
                <w:sz w:val="18"/>
                <w:szCs w:val="18"/>
              </w:rPr>
            </w:pPr>
            <w:r>
              <w:rPr>
                <w:rFonts w:ascii="Trebuchet MS" w:hAnsi="Trebuchet MS" w:cs="Arial"/>
                <w:sz w:val="18"/>
                <w:szCs w:val="18"/>
              </w:rPr>
              <w:t xml:space="preserve">SD</w:t>
            </w:r>
            <w:r>
              <w:rPr>
                <w:rFonts w:ascii="Trebuchet MS" w:hAnsi="Trebuchet MS" w:cs="Arial"/>
                <w:sz w:val="18"/>
                <w:szCs w:val="18"/>
              </w:rPr>
              <w:t xml:space="preserve">P</w:t>
            </w:r>
            <w:r>
              <w:rPr>
                <w:rFonts w:ascii="Trebuchet MS" w:hAnsi="Trebuchet MS" w:cs="Arial"/>
                <w:sz w:val="18"/>
                <w:szCs w:val="18"/>
              </w:rPr>
              <w:t xml:space="preserve"> </w:t>
            </w:r>
            <w:r>
              <w:rPr>
                <w:rFonts w:ascii="Trebuchet MS" w:hAnsi="Trebuchet MS" w:cs="Arial"/>
                <w:sz w:val="18"/>
                <w:szCs w:val="18"/>
              </w:rPr>
              <w:t xml:space="preserve">tinklas E1/ G703.6 sym.120Ω </w:t>
            </w:r>
            <w:r>
              <w:rPr>
                <w:rFonts w:ascii="Trebuchet MS" w:hAnsi="Trebuchet MS" w:cs="Arial"/>
                <w:color w:val="000000"/>
                <w:sz w:val="18"/>
                <w:szCs w:val="18"/>
              </w:rPr>
              <w:t xml:space="preserve">arba C37.94 MM </w:t>
            </w:r>
            <w:r>
              <w:rPr>
                <w:rFonts w:ascii="Trebuchet MS" w:hAnsi="Trebuchet MS" w:cs="Arial"/>
                <w:color w:val="000000"/>
                <w:sz w:val="18"/>
                <w:szCs w:val="18"/>
              </w:rPr>
              <w:t xml:space="preserve">820-850 </w:t>
            </w:r>
            <w:r>
              <w:rPr>
                <w:rFonts w:ascii="Trebuchet MS" w:hAnsi="Trebuchet MS" w:cs="Arial"/>
                <w:color w:val="000000"/>
                <w:sz w:val="18"/>
                <w:szCs w:val="18"/>
              </w:rPr>
              <w:t xml:space="preserve">nm</w:t>
            </w:r>
            <w:r>
              <w:rPr>
                <w:rFonts w:ascii="Trebuchet MS" w:hAnsi="Trebuchet MS" w:cs="Arial"/>
                <w:sz w:val="18"/>
                <w:szCs w:val="18"/>
              </w:rPr>
              <w:t xml:space="preserve"> </w:t>
            </w:r>
            <w:r>
              <w:rPr>
                <w:rFonts w:ascii="Trebuchet MS" w:hAnsi="Trebuchet MS" w:cs="Arial"/>
                <w:sz w:val="18"/>
                <w:szCs w:val="18"/>
              </w:rPr>
              <w:t xml:space="preserve">sąsaja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 </w:t>
            </w:r>
            <w:r>
              <w:rPr>
                <w:rFonts w:ascii="Trebuchet MS" w:hAnsi="Trebuchet MS" w:cs="Arial"/>
                <w:sz w:val="18"/>
                <w:szCs w:val="18"/>
              </w:rPr>
              <w:t xml:space="preserve">/ SDH </w:t>
            </w:r>
            <w:r>
              <w:rPr>
                <w:rFonts w:ascii="Trebuchet MS" w:hAnsi="Trebuchet MS" w:cs="Arial"/>
                <w:sz w:val="18"/>
                <w:szCs w:val="18"/>
                <w:lang w:val="en-US"/>
              </w:rPr>
              <w:t xml:space="preserve">network E1/ G703.6 sym.120Ω</w:t>
            </w:r>
            <w:r>
              <w:rPr>
                <w:rFonts w:ascii="Trebuchet MS" w:hAnsi="Trebuchet MS" w:cs="Arial"/>
                <w:sz w:val="18"/>
                <w:szCs w:val="18"/>
                <w:lang w:val="en-US"/>
              </w:rPr>
              <w:t xml:space="preserve"> or </w:t>
            </w:r>
            <w:r>
              <w:rPr>
                <w:rFonts w:ascii="Trebuchet MS" w:hAnsi="Trebuchet MS" w:cs="Arial"/>
                <w:color w:val="000000"/>
                <w:sz w:val="18"/>
                <w:szCs w:val="18"/>
              </w:rPr>
              <w:t xml:space="preserve">C37.94 MM </w:t>
            </w:r>
            <w:r>
              <w:rPr>
                <w:rFonts w:ascii="Trebuchet MS" w:hAnsi="Trebuchet MS" w:cs="Arial"/>
                <w:color w:val="000000"/>
                <w:sz w:val="18"/>
                <w:szCs w:val="18"/>
              </w:rPr>
              <w:t xml:space="preserve">820-850 nm</w:t>
            </w:r>
            <w:r>
              <w:rPr>
                <w:rFonts w:ascii="Trebuchet MS" w:hAnsi="Trebuchet MS" w:cs="Arial"/>
                <w:sz w:val="18"/>
                <w:szCs w:val="18"/>
                <w:lang w:val="en-US"/>
              </w:rPr>
              <w:t xml:space="preserve"> interface</w:t>
            </w:r>
            <w:r>
              <w:rPr>
                <w:rFonts w:ascii="Trebuchet MS" w:hAnsi="Trebuchet MS" w:cs="Arial"/>
                <w:sz w:val="18"/>
                <w:szCs w:val="18"/>
                <w:lang w:val="en-US"/>
              </w:rPr>
              <w:t xml:space="preserve"> </w:t>
            </w:r>
            <w:r>
              <w:rPr>
                <w:rFonts w:ascii="Trebuchet MS" w:hAnsi="Trebuchet MS" w:cs="Arial"/>
                <w:sz w:val="18"/>
                <w:szCs w:val="18"/>
              </w:rPr>
              <w:t xml:space="preserve"> </w:t>
            </w:r>
            <w:r>
              <w:rPr>
                <w:rFonts w:ascii="Trebuchet MS" w:hAnsi="Trebuchet MS" w:cs="Arial"/>
                <w:color w:val="000000"/>
                <w:sz w:val="18"/>
                <w:szCs w:val="18"/>
                <w:vertAlign w:val="superscript"/>
                <w:lang w:val="en-US"/>
              </w:rPr>
              <w:t xml:space="preserve">3) </w:t>
            </w:r>
            <w:r>
              <w:rPr>
                <w:rFonts w:ascii="Trebuchet MS" w:hAnsi="Trebuchet MS" w:cs="Arial"/>
                <w:sz w:val="18"/>
                <w:szCs w:val="18"/>
                <w:vertAlign w:val="superscript"/>
              </w:rPr>
              <w:t xml:space="preserve">a) </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1"/>
                <w:numId w:val="14"/>
              </w:numPr>
              <w:spacing/>
              <w:ind w:left="0" w:firstLine="0"/>
              <w:jc w:val="center"/>
              <w:rPr>
                <w:rFonts w:ascii="Trebuchet MS" w:hAnsi="Trebuchet MS"/>
                <w:b/>
                <w:bCs/>
                <w:sz w:val="18"/>
                <w:szCs w:val="18"/>
              </w:rPr>
            </w:pPr>
          </w:p>
        </w:tc>
        <w:tc>
          <w:tcPr>
            <w:tcW w:type="dxa" w:w="3546"/>
            <w:gridSpan w:val="4"/>
            <w:tcBorders/>
            <w:vAlign w:val="center"/>
          </w:tcPr>
          <w:p>
            <w:pPr>
              <w:spacing/>
              <w:rPr>
                <w:rFonts w:ascii="Trebuchet MS" w:hAnsi="Trebuchet MS" w:cs="Arial"/>
                <w:color w:val="000000"/>
                <w:sz w:val="18"/>
                <w:szCs w:val="18"/>
              </w:rPr>
            </w:pPr>
            <w:r>
              <w:rPr>
                <w:rFonts w:ascii="Trebuchet MS" w:hAnsi="Trebuchet MS" w:cs="Arial"/>
                <w:sz w:val="18"/>
                <w:szCs w:val="18"/>
              </w:rPr>
              <w:t xml:space="preserve">Perduodamų telekomandų skaičius TPĮ turi būti ne mažesnis kaip </w:t>
            </w:r>
            <w:r>
              <w:rPr>
                <w:rFonts w:ascii="Trebuchet MS" w:hAnsi="Trebuchet MS" w:cs="Arial"/>
                <w:sz w:val="18"/>
                <w:szCs w:val="18"/>
                <w:vertAlign w:val="superscript"/>
              </w:rPr>
              <w:t xml:space="preserve">1)</w:t>
            </w:r>
            <w:r>
              <w:rPr>
                <w:rFonts w:ascii="Trebuchet MS" w:hAnsi="Trebuchet MS" w:cs="Arial"/>
                <w:sz w:val="18"/>
                <w:szCs w:val="18"/>
              </w:rPr>
              <w:t xml:space="preserve">/ </w:t>
            </w:r>
            <w:r>
              <w:rPr>
                <w:rFonts w:ascii="Trebuchet MS" w:hAnsi="Trebuchet MS" w:cs="Arial"/>
                <w:sz w:val="18"/>
                <w:szCs w:val="18"/>
                <w:lang w:val="en-US"/>
              </w:rPr>
              <w:t xml:space="preserve">Transmitted telecommand‘s number with teleprotection equipment shall be not less than</w:t>
            </w:r>
            <w:r>
              <w:rPr>
                <w:rFonts w:ascii="Trebuchet MS" w:hAnsi="Trebuchet MS" w:cs="Arial"/>
                <w:sz w:val="18"/>
                <w:szCs w:val="18"/>
              </w:rPr>
              <w:t xml:space="preserve"> </w:t>
            </w:r>
            <w:r>
              <w:rPr>
                <w:rFonts w:ascii="Trebuchet MS" w:hAnsi="Trebuchet MS" w:cs="Arial"/>
                <w:sz w:val="18"/>
                <w:szCs w:val="18"/>
                <w:vertAlign w:val="superscript"/>
              </w:rPr>
              <w:t xml:space="preserve">1)</w:t>
            </w:r>
          </w:p>
        </w:tc>
        <w:tc>
          <w:tcPr>
            <w:tcW w:type="dxa" w:w="3687"/>
            <w:tcBorders/>
            <w:vAlign w:val="center"/>
          </w:tcPr>
          <w:p>
            <w:pPr>
              <w:pStyle w:val="Default"/>
              <w:spacing/>
              <w:jc w:val="both"/>
              <w:rPr>
                <w:rFonts w:ascii="Trebuchet MS" w:hAnsi="Trebuchet MS" w:cs="Arial"/>
                <w:sz w:val="18"/>
                <w:szCs w:val="18"/>
              </w:rPr>
            </w:pPr>
            <w:r>
              <w:rPr>
                <w:rFonts w:ascii="Trebuchet MS" w:hAnsi="Trebuchet MS" w:cs="Arial"/>
                <w:sz w:val="18"/>
                <w:szCs w:val="18"/>
              </w:rPr>
              <w:t xml:space="preserve">2 komandos </w:t>
            </w:r>
            <w:r>
              <w:rPr>
                <w:rFonts w:ascii="Trebuchet MS" w:hAnsi="Trebuchet MS" w:cs="Arial"/>
                <w:sz w:val="18"/>
                <w:szCs w:val="18"/>
                <w:vertAlign w:val="superscript"/>
              </w:rPr>
              <w:t xml:space="preserve">a)</w:t>
            </w:r>
            <w:r>
              <w:rPr>
                <w:rFonts w:ascii="Trebuchet MS" w:hAnsi="Trebuchet MS" w:cs="Arial"/>
                <w:sz w:val="18"/>
                <w:szCs w:val="18"/>
              </w:rPr>
              <w:t xml:space="preserve">/ </w:t>
            </w:r>
          </w:p>
          <w:p>
            <w:pPr>
              <w:spacing/>
              <w:rPr>
                <w:rFonts w:ascii="Trebuchet MS" w:hAnsi="Trebuchet MS" w:cs="Arial"/>
                <w:bCs/>
                <w:sz w:val="18"/>
                <w:szCs w:val="18"/>
              </w:rPr>
            </w:pPr>
            <w:r>
              <w:rPr>
                <w:rFonts w:ascii="Trebuchet MS" w:hAnsi="Trebuchet MS" w:cs="Arial"/>
                <w:sz w:val="18"/>
                <w:szCs w:val="18"/>
              </w:rPr>
              <w:t xml:space="preserve">2 </w:t>
            </w:r>
            <w:r>
              <w:rPr>
                <w:rFonts w:ascii="Trebuchet MS" w:hAnsi="Trebuchet MS" w:cs="Arial"/>
                <w:sz w:val="18"/>
                <w:szCs w:val="18"/>
                <w:lang w:val="en-US"/>
              </w:rPr>
              <w:t xml:space="preserve">commands</w:t>
            </w:r>
            <w:r>
              <w:rPr>
                <w:rFonts w:ascii="Trebuchet MS" w:hAnsi="Trebuchet MS" w:cs="Arial"/>
                <w:sz w:val="18"/>
                <w:szCs w:val="18"/>
              </w:rPr>
              <w:t xml:space="preserve"> </w:t>
            </w:r>
            <w:r>
              <w:rPr>
                <w:rFonts w:ascii="Trebuchet MS" w:hAnsi="Trebuchet MS"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15163"/>
            <w:gridSpan w:val="9"/>
            <w:tcBorders/>
            <w:vAlign w:val="center"/>
          </w:tcPr>
          <w:p>
            <w:pPr>
              <w:spacing/>
              <w:rPr>
                <w:rFonts w:ascii="Trebuchet MS" w:hAnsi="Trebuchet MS" w:cs="Arial"/>
                <w:b/>
                <w:color w:val="000000"/>
                <w:sz w:val="16"/>
                <w:szCs w:val="16"/>
              </w:rPr>
            </w:pPr>
            <w:r>
              <w:rPr>
                <w:rFonts w:ascii="Trebuchet MS" w:hAnsi="Trebuchet MS" w:cs="Arial"/>
                <w:b/>
                <w:color w:val="000000"/>
                <w:sz w:val="16"/>
                <w:szCs w:val="16"/>
              </w:rPr>
              <w:t xml:space="preserve">Pastaba/ </w:t>
            </w:r>
            <w:r>
              <w:rPr>
                <w:rFonts w:ascii="Trebuchet MS" w:hAnsi="Trebuchet MS" w:cs="Arial"/>
                <w:b/>
                <w:color w:val="000000"/>
                <w:sz w:val="16"/>
                <w:szCs w:val="16"/>
                <w:lang w:val="en-US"/>
              </w:rPr>
              <w:t xml:space="preserve">Note</w:t>
            </w:r>
            <w:r>
              <w:rPr>
                <w:rFonts w:ascii="Trebuchet MS" w:hAnsi="Trebuchet MS" w:cs="Arial"/>
                <w:b/>
                <w:color w:val="000000"/>
                <w:sz w:val="16"/>
                <w:szCs w:val="16"/>
              </w:rPr>
              <w:t xml:space="preserve">:</w:t>
            </w:r>
          </w:p>
          <w:p>
            <w:pPr>
              <w:numPr>
                <w:ilvl w:val="0"/>
                <w:numId w:val="11"/>
              </w:numPr>
              <w:spacing/>
              <w:jc w:val="both"/>
              <w:rPr>
                <w:rFonts w:ascii="Trebuchet MS" w:hAnsi="Trebuchet MS" w:cs="Arial"/>
                <w:color w:val="000000"/>
                <w:sz w:val="16"/>
                <w:szCs w:val="16"/>
                <w:lang w:val="en-US"/>
              </w:rPr>
            </w:pPr>
            <w:r>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Pr>
                <w:rFonts w:ascii="Trebuchet MS" w:hAnsi="Trebuchet MS" w:cs="Arial"/>
                <w:color w:val="000000"/>
                <w:sz w:val="16"/>
                <w:szCs w:val="16"/>
                <w:lang w:val="en-US"/>
              </w:rPr>
              <w:t xml:space="preserve">During Technical design, values can be adjusted, but only to more worst conditions, according to actual environmental conditions data.</w:t>
            </w:r>
          </w:p>
          <w:p>
            <w:pPr>
              <w:numPr>
                <w:ilvl w:val="0"/>
                <w:numId w:val="11"/>
              </w:numPr>
              <w:spacing/>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Pr>
                <w:rFonts w:ascii="Trebuchet MS" w:hAnsi="Trebuchet MS" w:cs="Arial"/>
                <w:color w:val="000000"/>
                <w:sz w:val="16"/>
                <w:szCs w:val="16"/>
              </w:rPr>
              <w:t xml:space="preserve">Duomenų perdavimo atstumas tiesiogine optine skaidula su ne mažesne kaip 25% atsarga parenkamas, pagal telekomunikacijų ryšio linijos ilgį ir slopinimą, techninio projekto rengimo metu</w:t>
            </w:r>
            <w:r>
              <w:rPr>
                <w:rFonts w:ascii="Trebuchet MS" w:hAnsi="Trebuchet MS" w:cs="Arial"/>
                <w:color w:val="000000"/>
                <w:sz w:val="16"/>
                <w:szCs w:val="16"/>
                <w:lang w:val="en-US"/>
              </w:rPr>
              <w:t xml:space="preserve">/ Data </w:t>
            </w:r>
            <w:r>
              <w:rPr>
                <w:rFonts w:ascii="Trebuchet MS" w:hAnsi="Trebuchet MS" w:cs="Arial"/>
                <w:sz w:val="16"/>
                <w:szCs w:val="16"/>
                <w:lang w:val="en-US"/>
              </w:rPr>
              <w:t xml:space="preserve">transmission distance over direct fiber optic must be selected with a minimum of 25</w:t>
            </w:r>
            <w:r>
              <w:rPr>
                <w:rFonts w:ascii="Trebuchet MS" w:hAnsi="Trebuchet MS" w:cs="Arial"/>
                <w:color w:val="000000"/>
                <w:sz w:val="16"/>
                <w:szCs w:val="16"/>
                <w:lang w:val="en-US"/>
              </w:rPr>
              <w:t xml:space="preserve">%</w:t>
            </w:r>
            <w:r>
              <w:rPr>
                <w:rFonts w:ascii="Trebuchet MS" w:hAnsi="Trebuchet MS" w:cs="Arial"/>
                <w:sz w:val="16"/>
                <w:szCs w:val="16"/>
                <w:lang w:val="en-US"/>
              </w:rPr>
              <w:t xml:space="preserve"> reserve, according to the telecommunications line length and damping</w:t>
            </w:r>
            <w:r>
              <w:rPr>
                <w:rFonts w:ascii="Trebuchet MS" w:hAnsi="Trebuchet MS" w:cs="Arial"/>
                <w:sz w:val="16"/>
                <w:szCs w:val="16"/>
              </w:rPr>
              <w:t xml:space="preserve"> </w:t>
            </w:r>
            <w:r>
              <w:rPr>
                <w:rFonts w:ascii="Trebuchet MS" w:hAnsi="Trebuchet MS" w:cs="Arial"/>
                <w:sz w:val="16"/>
                <w:szCs w:val="16"/>
                <w:lang w:val="en-US"/>
              </w:rPr>
              <w:t xml:space="preserve">necessary preparing the technical design. </w:t>
            </w:r>
          </w:p>
          <w:p>
            <w:pPr>
              <w:numPr>
                <w:ilvl w:val="0"/>
                <w:numId w:val="11"/>
              </w:numPr>
              <w:spacing/>
              <w:jc w:val="both"/>
              <w:rPr>
                <w:rFonts w:ascii="Trebuchet MS" w:hAnsi="Trebuchet MS" w:cs="Arial"/>
                <w:color w:val="000000"/>
                <w:sz w:val="16"/>
                <w:szCs w:val="16"/>
                <w:lang w:val="en-US"/>
              </w:rPr>
            </w:pPr>
            <w:r>
              <w:rPr>
                <w:rFonts w:ascii="Trebuchet MS" w:hAnsi="Trebuchet MS" w:cs="Arial"/>
                <w:sz w:val="16"/>
                <w:szCs w:val="16"/>
                <w:lang w:val="en-US"/>
              </w:rPr>
              <w:t xml:space="preserve">- </w:t>
            </w:r>
            <w:r>
              <w:rPr>
                <w:rFonts w:ascii="Trebuchet MS" w:hAnsi="Trebuchet MS" w:cs="Arial"/>
                <w:sz w:val="16"/>
                <w:szCs w:val="16"/>
              </w:rPr>
              <w:t xml:space="preserve">Ryšio kanalų tipų kombinacija arba tipas priklausomai nuo pastotėje ar skirstykloje esančios arba busimos ryšių infrastruktūros ir jos techninių galimybių bei pagal prioritetą parenkama projektavimo metu</w:t>
            </w:r>
            <w:r>
              <w:rPr>
                <w:rFonts w:ascii="Trebuchet MS" w:hAnsi="Trebuchet MS" w:cs="Arial"/>
                <w:sz w:val="16"/>
                <w:szCs w:val="16"/>
                <w:lang w:val="en-US"/>
              </w:rPr>
              <w:t xml:space="preserve">/ </w:t>
            </w:r>
            <w:r>
              <w:rPr>
                <w:rFonts w:ascii="Trebuchet MS" w:hAnsi="Trebuchet MS" w:cs="Arial"/>
                <w:sz w:val="16"/>
                <w:szCs w:val="16"/>
                <w:lang w:val="en-GB"/>
              </w:rPr>
              <w:t xml:space="preserve">Communication channel type combination or type depending on the substation or switchyard of the communication infrastructure and its technical options or future plans by priority set at design time.</w:t>
            </w:r>
          </w:p>
          <w:p>
            <w:pPr>
              <w:numPr>
                <w:ilvl w:val="0"/>
                <w:numId w:val="11"/>
              </w:numPr>
              <w:spacing/>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Pr>
                <w:rFonts w:ascii="Trebuchet MS" w:hAnsi="Trebuchet MS" w:cs="Arial"/>
                <w:color w:val="000000"/>
                <w:sz w:val="16"/>
                <w:szCs w:val="16"/>
              </w:rPr>
              <w:t xml:space="preserve">Galimas telekomandų perdavimo įrenginio išorinis maitinimo šaltinis, kai tokia galimybė numatyta gamintojo techninėje dokumentacijoje ir nėra numatytos integruoto maitinimo šaltinio galimybės</w:t>
            </w:r>
            <w:r>
              <w:rPr>
                <w:rFonts w:ascii="Trebuchet MS" w:hAnsi="Trebuchet MS" w:cs="Arial"/>
                <w:color w:val="000000"/>
                <w:sz w:val="16"/>
                <w:szCs w:val="16"/>
              </w:rPr>
              <w:t xml:space="preserve"> įrenginyje</w:t>
            </w:r>
            <w:r>
              <w:rPr>
                <w:rFonts w:ascii="Trebuchet MS" w:hAnsi="Trebuchet MS" w:cs="Arial"/>
                <w:color w:val="000000"/>
                <w:sz w:val="16"/>
                <w:szCs w:val="16"/>
              </w:rPr>
              <w:t xml:space="preserve">.</w:t>
            </w:r>
          </w:p>
          <w:p>
            <w:pPr>
              <w:spacing/>
              <w:jc w:val="both"/>
              <w:rPr>
                <w:rFonts w:ascii="Trebuchet MS" w:hAnsi="Trebuchet MS" w:cs="Arial"/>
                <w:b/>
                <w:color w:val="000000"/>
                <w:sz w:val="16"/>
                <w:szCs w:val="16"/>
                <w:lang w:val="en-US"/>
              </w:rPr>
            </w:pPr>
            <w:r>
              <w:rPr>
                <w:rFonts w:ascii="Trebuchet MS" w:hAnsi="Trebuchet MS" w:cs="Arial"/>
                <w:b/>
                <w:color w:val="000000"/>
                <w:sz w:val="16"/>
                <w:szCs w:val="16"/>
              </w:rPr>
              <w:t xml:space="preserve">Rangovo teikiama dokumentacija reikalaujamo parametro atitikimo pagrindimui:/ </w:t>
            </w:r>
            <w:r>
              <w:rPr>
                <w:rFonts w:ascii="Trebuchet MS" w:hAnsi="Trebuchet MS" w:cs="Arial"/>
                <w:b/>
                <w:color w:val="000000"/>
                <w:sz w:val="16"/>
                <w:szCs w:val="16"/>
                <w:lang w:val="en-US"/>
              </w:rPr>
              <w:t xml:space="preserve">Documentation provided by the contractor to justify required parameter of the equipment:</w:t>
            </w:r>
          </w:p>
          <w:p>
            <w:pPr>
              <w:numPr>
                <w:ilvl w:val="0"/>
                <w:numId w:val="2"/>
              </w:numPr>
              <w:spacing/>
              <w:jc w:val="both"/>
              <w:rPr>
                <w:rFonts w:ascii="Trebuchet MS" w:hAnsi="Trebuchet MS" w:cs="Arial"/>
                <w:color w:val="000000"/>
                <w:sz w:val="16"/>
                <w:szCs w:val="16"/>
              </w:rPr>
            </w:pPr>
            <w:r>
              <w:rPr>
                <w:rFonts w:ascii="Trebuchet MS" w:hAnsi="Trebuchet MS" w:cs="Arial"/>
                <w:color w:val="000000"/>
                <w:sz w:val="16"/>
                <w:szCs w:val="16"/>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Pr>
                <w:rFonts w:ascii="Trebuchet MS" w:hAnsi="Trebuchet MS" w:cs="Arial"/>
                <w:color w:val="000000"/>
                <w:sz w:val="16"/>
                <w:szCs w:val="16"/>
              </w:rPr>
              <w:t xml:space="preserve">;</w:t>
            </w:r>
          </w:p>
          <w:p>
            <w:pPr>
              <w:pStyle w:val="ListParagraph"/>
              <w:numPr>
                <w:ilvl w:val="0"/>
                <w:numId w:val="2"/>
              </w:numPr>
              <w:spacing/>
              <w:rPr>
                <w:rFonts w:ascii="Trebuchet MS" w:hAnsi="Trebuchet MS" w:cs="Arial"/>
                <w:color w:val="000000"/>
                <w:sz w:val="16"/>
                <w:szCs w:val="16"/>
              </w:rPr>
            </w:pPr>
            <w:r>
              <w:rPr>
                <w:rFonts w:ascii="Trebuchet MS" w:hAnsi="Trebuchet MS" w:cs="Arial"/>
                <w:color w:val="000000"/>
                <w:sz w:val="16"/>
                <w:szCs w:val="16"/>
              </w:rPr>
              <w:t xml:space="preserve">Gamintojo ES atitikties deklaracijos kopija/ </w:t>
            </w:r>
            <w:r>
              <w:rPr>
                <w:rFonts w:ascii="Trebuchet MS" w:hAnsi="Trebuchet MS" w:cs="Arial"/>
                <w:color w:val="000000"/>
                <w:sz w:val="16"/>
                <w:szCs w:val="16"/>
                <w:lang w:val="en-US"/>
              </w:rPr>
              <w:t xml:space="preserve">Copy of the manufacturer 's EU declaration of conformity</w:t>
            </w:r>
            <w:r>
              <w:rPr>
                <w:rFonts w:ascii="Trebuchet MS" w:hAnsi="Trebuchet MS" w:cs="Arial"/>
                <w:color w:val="000000"/>
                <w:sz w:val="16"/>
                <w:szCs w:val="16"/>
                <w:lang w:val="en-US"/>
              </w:rPr>
              <w:t xml:space="preserve">;</w:t>
            </w:r>
          </w:p>
          <w:p>
            <w:pPr>
              <w:numPr>
                <w:ilvl w:val="0"/>
                <w:numId w:val="2"/>
              </w:numPr>
              <w:spacing/>
              <w:jc w:val="both"/>
              <w:rPr>
                <w:rFonts w:ascii="Trebuchet MS" w:hAnsi="Trebuchet MS"/>
                <w:sz w:val="18"/>
                <w:szCs w:val="18"/>
              </w:rPr>
            </w:pPr>
            <w:r>
              <w:rPr>
                <w:rFonts w:ascii="Trebuchet MS" w:hAnsi="Trebuchet MS" w:cs="Arial"/>
                <w:color w:val="000000"/>
                <w:sz w:val="16"/>
                <w:szCs w:val="16"/>
              </w:rPr>
              <w:t xml:space="preserve">S</w:t>
            </w:r>
            <w:r>
              <w:rPr>
                <w:rFonts w:ascii="Trebuchet MS" w:hAnsi="Trebuchet MS" w:cs="Arial"/>
                <w:color w:val="000000"/>
                <w:sz w:val="16"/>
                <w:szCs w:val="16"/>
              </w:rPr>
              <w:t xml:space="preserve">ertifikato kopija/ </w:t>
            </w:r>
            <w:r>
              <w:rPr>
                <w:rFonts w:ascii="Trebuchet MS" w:hAnsi="Trebuchet MS" w:cs="Arial"/>
                <w:color w:val="000000"/>
                <w:sz w:val="16"/>
                <w:szCs w:val="16"/>
                <w:lang w:val="en-US"/>
              </w:rPr>
              <w:t xml:space="preserve">C</w:t>
            </w:r>
            <w:r>
              <w:rPr>
                <w:rFonts w:ascii="Trebuchet MS" w:hAnsi="Trebuchet MS" w:cs="Arial"/>
                <w:color w:val="000000"/>
                <w:sz w:val="16"/>
                <w:szCs w:val="16"/>
                <w:lang w:val="en-US"/>
              </w:rPr>
              <w:t xml:space="preserve">opy of the certificate</w:t>
            </w:r>
            <w:r>
              <w:rPr>
                <w:rFonts w:ascii="Trebuchet MS" w:hAnsi="Trebuchet MS" w:cs="Arial"/>
                <w:color w:val="000000"/>
                <w:sz w:val="16"/>
                <w:szCs w:val="16"/>
                <w:lang w:val="en-US"/>
              </w:rPr>
              <w:t xml:space="preserve">.</w:t>
            </w:r>
          </w:p>
        </w:tc>
      </w:tr>
    </w:tbl>
    <w:p w14:paraId="3E2EB108">
      <w:pPr>
        <w:spacing/>
        <w:rPr>
          <w:sz w:val="18"/>
          <w:szCs w:val="18"/>
        </w:rPr>
      </w:pPr>
    </w:p>
    <w:p w14:paraId="5C5C88D9">
      <w:pPr>
        <w:spacing/>
        <w:jc w:val="center"/>
        <w:rPr>
          <w:sz w:val="18"/>
          <w:szCs w:val="18"/>
        </w:rPr>
      </w:pPr>
    </w:p>
    <w:p w14:paraId="6517BC4E">
      <w:pPr>
        <w:spacing/>
        <w:rPr>
          <w:sz w:val="18"/>
          <w:szCs w:val="18"/>
        </w:rPr>
      </w:pPr>
    </w:p>
    <w:p w14:paraId="45941838">
      <w:pPr>
        <w:spacing/>
        <w:rPr>
          <w:sz w:val="18"/>
          <w:szCs w:val="18"/>
        </w:rPr>
      </w:pPr>
    </w:p>
    <w:p w14:paraId="79B8E6D4">
      <w:pPr>
        <w:spacing/>
        <w:rPr>
          <w:sz w:val="18"/>
          <w:szCs w:val="18"/>
        </w:rPr>
      </w:pPr>
    </w:p>
    <w:p w14:paraId="4A6101D2">
      <w:pPr>
        <w:spacing/>
        <w:rPr>
          <w:sz w:val="18"/>
          <w:szCs w:val="18"/>
        </w:rPr>
      </w:pPr>
    </w:p>
    <w:p w14:paraId="4F640C00">
      <w:pPr>
        <w:spacing/>
        <w:rPr>
          <w:sz w:val="18"/>
          <w:szCs w:val="18"/>
        </w:rPr>
      </w:pPr>
    </w:p>
    <w:p w14:paraId="7BD0BDC9">
      <w:pPr>
        <w:spacing/>
        <w:rPr>
          <w:sz w:val="18"/>
          <w:szCs w:val="18"/>
        </w:rPr>
      </w:pPr>
    </w:p>
    <w:p w14:paraId="34823325">
      <w:pPr>
        <w:spacing/>
        <w:rPr>
          <w:sz w:val="18"/>
          <w:szCs w:val="18"/>
        </w:rPr>
      </w:pPr>
    </w:p>
    <w:p w14:paraId="0FB71996">
      <w:pPr>
        <w:spacing/>
        <w:rPr>
          <w:sz w:val="18"/>
          <w:szCs w:val="18"/>
        </w:rPr>
      </w:pPr>
    </w:p>
    <w:p w14:paraId="5B046B16">
      <w:pPr>
        <w:spacing/>
        <w:rPr>
          <w:sz w:val="18"/>
          <w:szCs w:val="18"/>
        </w:rPr>
      </w:pPr>
    </w:p>
    <w:p w14:paraId="66101941">
      <w:pPr>
        <w:spacing/>
        <w:rPr>
          <w:sz w:val="18"/>
          <w:szCs w:val="18"/>
        </w:rPr>
      </w:pPr>
    </w:p>
    <w:p w14:paraId="7A1D6111">
      <w:pPr>
        <w:spacing/>
        <w:rPr>
          <w:sz w:val="18"/>
          <w:szCs w:val="18"/>
        </w:rPr>
      </w:pPr>
    </w:p>
    <w:p w14:paraId="2DBBF10F">
      <w:pPr>
        <w:spacing/>
        <w:jc w:val="center"/>
        <w:rPr>
          <w:sz w:val="18"/>
          <w:szCs w:val="18"/>
        </w:rPr>
      </w:pPr>
    </w:p>
    <w:sectPr>
      <w:headerReference w:type="default" r:id="rId1"/>
      <w:footerReference w:type="default" r:id="rId2"/>
      <w:type w:val="nextPage"/>
      <w:pgSz w:w="16838" w:h="11906"/>
      <w:pgMar w:top="567" w:right="1701" w:bottom="567" w:left="1134" w:header="0" w:footer="0"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Arial">
    <w:charset w:val="0"/>
    <w:family w:val="swiss"/>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0"/>
    <w:family w:val="swiss"/>
    <w:pitch w:val="variable"/>
    <w:sig w:usb0="E4002EFF" w:usb1="C200247B" w:usb2="00000009" w:usb3="00000000" w:csb0="000001FF" w:csb1="00000000"/>
  </w:font>
  <w:font w:name="Trebuchet MS">
    <w:charset w:val="0"/>
    <w:family w:val="swiss"/>
    <w:pitch w:val="variable"/>
    <w:sig w:usb0="00000687" w:usb1="00000000" w:usb2="00000000" w:usb3="00000000" w:csb0="0000009F" w:csb1="00000000"/>
  </w:font>
  <w:font w:name="Calibri Light">
    <w:charset w:val="0"/>
    <w:family w:val="swiss"/>
    <w:pitch w:val="variable"/>
    <w:sig w:usb0="E4002EFF" w:usb1="C2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pPr>
          <w:spacing w:after="0" w:line="240" w:lineRule="auto"/>
          <w:textAlignment w:val="top"/>
          <w:rPr>
            <w:rFonts w:ascii="Trebuchet MS" w:hAnsi="Trebuchet MS" w:cs="Arial"/>
            <w:bCs/>
            <w:sz w:val="18"/>
            <w:szCs w:val="18"/>
            <w:lang w:val="en-US"/>
          </w:rPr>
        </w:pPr>
        <w:r>
          <w:rPr>
            <w:rFonts w:ascii="Trebuchet MS" w:hAnsi="Trebuchet MS" w:cs="Arial"/>
            <w:bCs/>
            <w:sz w:val="18"/>
            <w:szCs w:val="18"/>
          </w:rPr>
          <w:t xml:space="preserve">STANDARTINIAI TECHNINIAI REIKALAVIMAI TELEKOMANDŲ PERDAVIMO SISTEMOS ĮRENGINIAMS SUSIETIEMS SU RELINE APSAUGA IR AUTOMATIKA </w:t>
        </w:r>
      </w:p>
      <w:p w14:paraId="25FF0A36">
        <w:pPr>
          <w:spacing w:after="0" w:line="240" w:lineRule="auto"/>
          <w:textAlignment w:val="top"/>
          <w:rPr>
            <w:rFonts w:ascii="Arial" w:hAnsi="Arial" w:cs="Arial"/>
            <w:bCs/>
            <w:sz w:val="18"/>
            <w:szCs w:val="18"/>
            <w:lang w:val="en-US"/>
          </w:rPr>
        </w:pPr>
        <w:r>
          <w:rPr>
            <w:rFonts w:ascii="Trebuchet MS" w:hAnsi="Trebuchet MS" w:cs="Arial"/>
            <w:bCs/>
            <w:sz w:val="18"/>
            <w:szCs w:val="18"/>
            <w:lang w:val="en-US"/>
          </w:rPr>
          <w:t xml:space="preserve">STANDARD TECHNICAL REQUIREMENTS FOR TELEPROTECTION SYSTEM EQUIPMENT LINKED WITH RELAY PROTECTION AND AUTOMATION</w:t>
        </w:r>
      </w:p>
      <w:p w14:paraId="451145BB">
        <w:pPr>
          <w:spacing w:after="0" w:line="240" w:lineRule="auto"/>
          <w:jc w:val="center"/>
          <w:textAlignment w:val="top"/>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PAGE   \* MERGEFORMAT</w:instrText>
        </w:r>
        <w:r>
          <w:rPr>
            <w:rFonts w:ascii="Trebuchet MS" w:hAnsi="Trebuchet MS"/>
            <w:sz w:val="18"/>
            <w:szCs w:val="18"/>
          </w:rPr>
          <w:fldChar w:fldCharType="separate"/>
        </w:r>
        <w:r>
          <w:rPr>
            <w:rFonts w:ascii="Trebuchet MS" w:hAnsi="Trebuchet MS"/>
            <w:sz w:val="18"/>
            <w:szCs w:val="18"/>
          </w:rPr>
          <w:t xml:space="preserve">7</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t xml:space="preserve">11</w:t>
        </w:r>
      </w:p>
    </w:sdtContent>
  </w:sdt>
  <w:p w14:paraId="75814DB0">
    <w:pPr>
      <w:pStyle w:val="Footer"/>
      <w:spacing/>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DF22BED">
    <w:pPr>
      <w:pStyle w:val="Header"/>
      <w:tabs>
        <w:tab w:val="clear" w:pos="4819"/>
        <w:tab w:val="clear" w:pos="9638"/>
        <w:tab w:val="left" w:pos="8977"/>
      </w:tabs>
      <w:spacing/>
      <w:rPr/>
    </w:pPr>
    <w:r>
      <w:rPr/>
      <w:tab/>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864DD"/>
    <w:lvl w:ilvl="0">
      <w:start w:val="1"/>
      <w:numFmt w:val="lowerLetter"/>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185D569D"/>
    <w:lvl w:ilvl="0">
      <w:start w:val="1"/>
      <w:numFmt w:val="lowerLetter"/>
      <w:suff w:val="tab"/>
      <w:lvlText w:val="%1)"/>
      <w:pPr>
        <w:spacing/>
        <w:ind w:left="819" w:hanging="360"/>
      </w:pPr>
      <w:rPr>
        <w:rFonts w:hint="default"/>
        <w:b w:val="0"/>
        <w:bCs w:val="0"/>
      </w:rPr>
    </w:lvl>
    <w:lvl w:ilvl="1">
      <w:start w:val="1"/>
      <w:numFmt w:val="lowerLetter"/>
      <w:suff w:val="tab"/>
      <w:lvlText w:val="%2."/>
      <w:pPr>
        <w:spacing/>
        <w:ind w:left="1539" w:hanging="360"/>
      </w:pPr>
      <w:rPr/>
    </w:lvl>
    <w:lvl w:ilvl="2">
      <w:start w:val="1"/>
      <w:numFmt w:val="lowerRoman"/>
      <w:suff w:val="tab"/>
      <w:lvlText w:val="%3."/>
      <w:lvlJc w:val="right"/>
      <w:pPr>
        <w:spacing/>
        <w:ind w:left="2259" w:hanging="180"/>
      </w:pPr>
      <w:rPr/>
    </w:lvl>
    <w:lvl w:ilvl="3">
      <w:start w:val="1"/>
      <w:numFmt w:val="decimal"/>
      <w:suff w:val="tab"/>
      <w:lvlText w:val="%4."/>
      <w:pPr>
        <w:spacing/>
        <w:ind w:left="2979" w:hanging="360"/>
      </w:pPr>
      <w:rPr/>
    </w:lvl>
    <w:lvl w:ilvl="4">
      <w:start w:val="1"/>
      <w:numFmt w:val="lowerLetter"/>
      <w:suff w:val="tab"/>
      <w:lvlText w:val="%5."/>
      <w:pPr>
        <w:spacing/>
        <w:ind w:left="3699" w:hanging="360"/>
      </w:pPr>
      <w:rPr/>
    </w:lvl>
    <w:lvl w:ilvl="5">
      <w:start w:val="1"/>
      <w:numFmt w:val="lowerRoman"/>
      <w:suff w:val="tab"/>
      <w:lvlText w:val="%6."/>
      <w:lvlJc w:val="right"/>
      <w:pPr>
        <w:spacing/>
        <w:ind w:left="4419" w:hanging="180"/>
      </w:pPr>
      <w:rPr/>
    </w:lvl>
    <w:lvl w:ilvl="6">
      <w:start w:val="1"/>
      <w:numFmt w:val="decimal"/>
      <w:suff w:val="tab"/>
      <w:lvlText w:val="%7."/>
      <w:pPr>
        <w:spacing/>
        <w:ind w:left="5139" w:hanging="360"/>
      </w:pPr>
      <w:rPr/>
    </w:lvl>
    <w:lvl w:ilvl="7">
      <w:start w:val="1"/>
      <w:numFmt w:val="lowerLetter"/>
      <w:suff w:val="tab"/>
      <w:lvlText w:val="%8."/>
      <w:pPr>
        <w:spacing/>
        <w:ind w:left="5859" w:hanging="360"/>
      </w:pPr>
      <w:rPr/>
    </w:lvl>
    <w:lvl w:ilvl="8">
      <w:start w:val="1"/>
      <w:numFmt w:val="lowerRoman"/>
      <w:suff w:val="tab"/>
      <w:lvlText w:val="%9."/>
      <w:lvlJc w:val="right"/>
      <w:pPr>
        <w:spacing/>
        <w:ind w:left="6579" w:hanging="180"/>
      </w:pPr>
      <w:rPr/>
    </w:lvl>
  </w:abstractNum>
  <w:abstractNum w:abstractNumId="2">
    <w:nsid w:val="24505936"/>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3C23581B"/>
    <w:lvl w:ilvl="0">
      <w:start w:val="1"/>
      <w:numFmt w:val="decimal"/>
      <w:suff w:val="tab"/>
      <w:lvlText w:val="%1)"/>
      <w:pPr>
        <w:spacing/>
        <w:ind w:left="720" w:hanging="360"/>
      </w:pPr>
      <w:rPr>
        <w:rFonts w:hint="default"/>
        <w:vertAlign w:val="superscrip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467C41CD"/>
    <w:lvl w:ilvl="0">
      <w:start w:val="1"/>
      <w:numFmt w:val="lowerLetter"/>
      <w:suff w:val="tab"/>
      <w:lvlText w:val="%1)"/>
      <w:pPr>
        <w:spacing/>
        <w:ind w:left="785" w:hanging="360"/>
      </w:pPr>
      <w:rPr>
        <w:rFonts w:hint="default"/>
        <w:sz w:val="16"/>
        <w:szCs w:val="16"/>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4BF25932"/>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56DB5EFA"/>
    <w:lvl w:ilvl="0">
      <w:start w:val="1"/>
      <w:numFmt w:val="decimal"/>
      <w:suff w:val="tab"/>
      <w:lvlText w:val="%1)"/>
      <w:pPr>
        <w:spacing/>
        <w:ind w:left="720" w:hanging="360"/>
      </w:pPr>
      <w:rPr>
        <w:rFonts w:ascii="Arial" w:hAnsi="Arial" w:cs="Arial" w:hint="default"/>
        <w:sz w:val="16"/>
        <w:szCs w:val="16"/>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5E6A57A6"/>
    <w:lvl w:ilvl="0">
      <w:start w:val="0"/>
      <w:numFmt w:val="bullet"/>
      <w:suff w:val="tab"/>
      <w:lvlText w:val=""/>
      <w:pPr>
        <w:spacing/>
        <w:ind w:left="720" w:hanging="360"/>
      </w:pPr>
      <w:rPr>
        <w:rFonts w:ascii="Symbol" w:hAnsi="Symbol" w:eastAsia="Times New Roman" w:cs="Aria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9">
    <w:nsid w:val="64026E9A"/>
    <w:lvl w:ilvl="0">
      <w:start w:val="1"/>
      <w:numFmt w:val="decimal"/>
      <w:suff w:val="tab"/>
      <w:lvlText w:val="%1)"/>
      <w:pPr>
        <w:spacing/>
        <w:ind w:left="644"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6B764CD4"/>
    <w:lvl w:ilvl="0">
      <w:start w:val="1"/>
      <w:numFmt w:val="decimal"/>
      <w:suff w:val="tab"/>
      <w:lvlText w:val="%1)"/>
      <w:pPr>
        <w:spacing/>
        <w:ind w:left="720" w:hanging="360"/>
      </w:pPr>
      <w:rPr>
        <w:rFonts w:ascii="Arial" w:hAnsi="Arial" w:cs="Arial" w:hint="default"/>
        <w:sz w:val="16"/>
        <w:szCs w:val="16"/>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6C623F72"/>
    <w:lvl w:ilvl="0">
      <w:start w:val="1"/>
      <w:numFmt w:val="lowerLetter"/>
      <w:suff w:val="tab"/>
      <w:lvlText w:val="%1)"/>
      <w:pPr>
        <w:spacing/>
        <w:ind w:left="1287" w:hanging="360"/>
      </w:pPr>
      <w:rPr/>
    </w:lvl>
    <w:lvl w:ilvl="1">
      <w:start w:val="1"/>
      <w:numFmt w:val="lowerLetter"/>
      <w:suff w:val="tab"/>
      <w:lvlText w:val="%2."/>
      <w:pPr>
        <w:spacing/>
        <w:ind w:left="2007" w:hanging="360"/>
      </w:pPr>
      <w:rPr/>
    </w:lvl>
    <w:lvl w:ilvl="2">
      <w:start w:val="1"/>
      <w:numFmt w:val="lowerRoman"/>
      <w:suff w:val="tab"/>
      <w:lvlText w:val="%3."/>
      <w:lvlJc w:val="right"/>
      <w:pPr>
        <w:spacing/>
        <w:ind w:left="2727" w:hanging="180"/>
      </w:pPr>
      <w:rPr/>
    </w:lvl>
    <w:lvl w:ilvl="3">
      <w:start w:val="1"/>
      <w:numFmt w:val="decimal"/>
      <w:suff w:val="tab"/>
      <w:lvlText w:val="%4."/>
      <w:pPr>
        <w:spacing/>
        <w:ind w:left="3447" w:hanging="360"/>
      </w:pPr>
      <w:rPr/>
    </w:lvl>
    <w:lvl w:ilvl="4">
      <w:start w:val="1"/>
      <w:numFmt w:val="lowerLetter"/>
      <w:suff w:val="tab"/>
      <w:lvlText w:val="%5."/>
      <w:pPr>
        <w:spacing/>
        <w:ind w:left="4167" w:hanging="360"/>
      </w:pPr>
      <w:rPr/>
    </w:lvl>
    <w:lvl w:ilvl="5">
      <w:start w:val="1"/>
      <w:numFmt w:val="lowerRoman"/>
      <w:suff w:val="tab"/>
      <w:lvlText w:val="%6."/>
      <w:lvlJc w:val="right"/>
      <w:pPr>
        <w:spacing/>
        <w:ind w:left="4887" w:hanging="180"/>
      </w:pPr>
      <w:rPr/>
    </w:lvl>
    <w:lvl w:ilvl="6">
      <w:start w:val="1"/>
      <w:numFmt w:val="decimal"/>
      <w:suff w:val="tab"/>
      <w:lvlText w:val="%7."/>
      <w:pPr>
        <w:spacing/>
        <w:ind w:left="5607" w:hanging="360"/>
      </w:pPr>
      <w:rPr/>
    </w:lvl>
    <w:lvl w:ilvl="7">
      <w:start w:val="1"/>
      <w:numFmt w:val="lowerLetter"/>
      <w:suff w:val="tab"/>
      <w:lvlText w:val="%8."/>
      <w:pPr>
        <w:spacing/>
        <w:ind w:left="6327" w:hanging="360"/>
      </w:pPr>
      <w:rPr/>
    </w:lvl>
    <w:lvl w:ilvl="8">
      <w:start w:val="1"/>
      <w:numFmt w:val="lowerRoman"/>
      <w:suff w:val="tab"/>
      <w:lvlText w:val="%9."/>
      <w:lvlJc w:val="right"/>
      <w:pPr>
        <w:spacing/>
        <w:ind w:left="7047" w:hanging="180"/>
      </w:pPr>
      <w:rPr/>
    </w:lvl>
  </w:abstractNum>
  <w:abstractNum w:abstractNumId="12">
    <w:nsid w:val="78CD152E"/>
    <w:lvl w:ilvl="0">
      <w:start w:val="1"/>
      <w:numFmt w:val="lowerLetter"/>
      <w:suff w:val="tab"/>
      <w:lvlText w:val="%1)"/>
      <w:pPr>
        <w:spacing/>
        <w:ind w:left="819" w:hanging="360"/>
      </w:pPr>
      <w:rPr>
        <w:rFonts w:hint="default"/>
      </w:rPr>
    </w:lvl>
    <w:lvl w:ilvl="1">
      <w:start w:val="1"/>
      <w:numFmt w:val="lowerLetter"/>
      <w:suff w:val="tab"/>
      <w:lvlText w:val="%2."/>
      <w:pPr>
        <w:spacing/>
        <w:ind w:left="1539" w:hanging="360"/>
      </w:pPr>
      <w:rPr/>
    </w:lvl>
    <w:lvl w:ilvl="2">
      <w:start w:val="1"/>
      <w:numFmt w:val="lowerRoman"/>
      <w:suff w:val="tab"/>
      <w:lvlText w:val="%3."/>
      <w:lvlJc w:val="right"/>
      <w:pPr>
        <w:spacing/>
        <w:ind w:left="2259" w:hanging="180"/>
      </w:pPr>
      <w:rPr/>
    </w:lvl>
    <w:lvl w:ilvl="3">
      <w:start w:val="1"/>
      <w:numFmt w:val="decimal"/>
      <w:suff w:val="tab"/>
      <w:lvlText w:val="%4."/>
      <w:pPr>
        <w:spacing/>
        <w:ind w:left="2979" w:hanging="360"/>
      </w:pPr>
      <w:rPr/>
    </w:lvl>
    <w:lvl w:ilvl="4">
      <w:start w:val="1"/>
      <w:numFmt w:val="lowerLetter"/>
      <w:suff w:val="tab"/>
      <w:lvlText w:val="%5."/>
      <w:pPr>
        <w:spacing/>
        <w:ind w:left="3699" w:hanging="360"/>
      </w:pPr>
      <w:rPr/>
    </w:lvl>
    <w:lvl w:ilvl="5">
      <w:start w:val="1"/>
      <w:numFmt w:val="lowerRoman"/>
      <w:suff w:val="tab"/>
      <w:lvlText w:val="%6."/>
      <w:lvlJc w:val="right"/>
      <w:pPr>
        <w:spacing/>
        <w:ind w:left="4419" w:hanging="180"/>
      </w:pPr>
      <w:rPr/>
    </w:lvl>
    <w:lvl w:ilvl="6">
      <w:start w:val="1"/>
      <w:numFmt w:val="decimal"/>
      <w:suff w:val="tab"/>
      <w:lvlText w:val="%7."/>
      <w:pPr>
        <w:spacing/>
        <w:ind w:left="5139" w:hanging="360"/>
      </w:pPr>
      <w:rPr/>
    </w:lvl>
    <w:lvl w:ilvl="7">
      <w:start w:val="1"/>
      <w:numFmt w:val="lowerLetter"/>
      <w:suff w:val="tab"/>
      <w:lvlText w:val="%8."/>
      <w:pPr>
        <w:spacing/>
        <w:ind w:left="5859" w:hanging="360"/>
      </w:pPr>
      <w:rPr/>
    </w:lvl>
    <w:lvl w:ilvl="8">
      <w:start w:val="1"/>
      <w:numFmt w:val="lowerRoman"/>
      <w:suff w:val="tab"/>
      <w:lvlText w:val="%9."/>
      <w:lvlJc w:val="right"/>
      <w:pPr>
        <w:spacing/>
        <w:ind w:left="6579" w:hanging="180"/>
      </w:pPr>
      <w:rPr/>
    </w:lvl>
  </w:abstractNum>
  <w:abstractNum w:abstractNumId="13">
    <w:nsid w:val="7FE001E4"/>
    <w:lvl w:ilvl="0">
      <w:start w:val="1"/>
      <w:numFmt w:val="decimal"/>
      <w:suff w:val="tab"/>
      <w:lvlText w:val="%1."/>
      <w:pPr>
        <w:spacing/>
        <w:ind w:left="360" w:hanging="360"/>
      </w:pPr>
      <w:rPr>
        <w:rFonts w:hint="default"/>
      </w:rPr>
    </w:lvl>
    <w:lvl w:ilvl="1">
      <w:start w:val="1"/>
      <w:numFmt w:val="decimal"/>
      <w:suff w:val="tab"/>
      <w:lvlText w:val="%1.%2."/>
      <w:pPr>
        <w:spacing/>
        <w:ind w:left="792" w:hanging="792"/>
      </w:pPr>
      <w:rPr>
        <w:rFonts w:hint="default"/>
        <w:b w:val="0"/>
        <w:bCs w:val="0"/>
      </w:rPr>
    </w:lvl>
    <w:lvl w:ilvl="2">
      <w:start w:val="1"/>
      <w:numFmt w:val="decimal"/>
      <w:suff w:val="tab"/>
      <w:lvlText w:val="%1.%2.%3."/>
      <w:pPr>
        <w:spacing/>
        <w:ind w:left="1224" w:hanging="1224"/>
      </w:pPr>
      <w:rPr>
        <w:rFonts w:hint="default"/>
        <w:b w:val="0"/>
        <w:bCs w:val="0"/>
      </w:rPr>
    </w:lvl>
    <w:lvl w:ilvl="3">
      <w:start w:val="1"/>
      <w:numFmt w:val="decimal"/>
      <w:suff w:val="tab"/>
      <w:lvlText w:val="%1.%2.%3.%4."/>
      <w:pPr>
        <w:spacing/>
        <w:ind w:left="1728" w:hanging="172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character" w:styleId="hps" w:customStyle="1">
    <w:name w:val="hps"/>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 w:type="paragraph" w:styleId="Default" w:customStyle="1">
    <w:name w:val="Default"/>
    <w:pPr>
      <w:autoSpaceDE w:val="false"/>
      <w:autoSpaceDN w:val="false"/>
      <w:adjustRightInd w:val="false"/>
      <w:spacing w:after="0" w:line="240" w:lineRule="auto"/>
    </w:pPr>
    <w:rPr>
      <w:rFonts w:ascii="Symbol" w:hAnsi="Symbol" w:eastAsia="Times New Roman" w:cs="Symbol"/>
      <w:color w:val="000000"/>
      <w:sz w:val="24"/>
      <w:szCs w:val="24"/>
      <w:lang w:eastAsia="lt-LT"/>
    </w:rPr>
  </w:style>
  <w:style w:type="paragraph" w:styleId="Title">
    <w:name w:val="Title"/>
    <w:basedOn w:val="Normal"/>
    <w:link w:val="TitleChar"/>
    <w:qFormat/>
    <w:pPr>
      <w:spacing w:after="0" w:line="240" w:lineRule="auto"/>
      <w:jc w:val="center"/>
    </w:pPr>
    <w:rPr>
      <w:sz w:val="28"/>
      <w:szCs w:val="20"/>
      <w:lang w:eastAsia="en-US"/>
    </w:rPr>
  </w:style>
  <w:style w:type="character" w:styleId="TitleChar" w:customStyle="1">
    <w:name w:val="Title Char"/>
    <w:basedOn w:val="DefaultParagraphFont"/>
    <w:link w:val="Title"/>
    <w:rPr>
      <w:rFonts w:ascii="Times New Roman" w:hAnsi="Times New Roman" w:eastAsia="Times New Roman" w:cs="Times New Roman"/>
      <w:sz w:val="28"/>
      <w:szCs w:val="20"/>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PVIS-975562914-82</_dlc_DocId>
    <_dlc_DocIdUrl xmlns="58896280-883f-49e1-8f2c-86b01e3ff616">
      <Url>https://projektai.intranet.litgrid.eu/PWA/LitPol Link 400 kV skirstyklos rekonstravimas didinant perdavimo tinklo atsparumą/_layouts/15/DocIdRedir.aspx?ID=PVIS-975562914-82</Url>
      <Description>PVIS-975562914-82</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73141941-0933-4FAF-AB8C-91CE16335715}"/>
</file>

<file path=customXml/itemProps3.xml><?xml version="1.0" encoding="utf-8"?>
<ds:datastoreItem xmlns:ds="http://schemas.openxmlformats.org/officeDocument/2006/customXml" ds:itemID="{A74D252A-EDC2-4788-9531-7020A8700EF3}"/>
</file>

<file path=customXml/itemProps4.xml><?xml version="1.0" encoding="utf-8"?>
<ds:datastoreItem xmlns:ds="http://schemas.openxmlformats.org/officeDocument/2006/customXml" ds:itemID="{897C089F-22E2-46C0-A6A0-0007A55AC654}"/>
</file>

<file path=customXml/itemProps5.xml><?xml version="1.0" encoding="utf-8"?>
<ds:datastoreItem xmlns:ds="http://schemas.openxmlformats.org/officeDocument/2006/customXml" ds:itemID="{B441014E-534F-414D-9B41-14AF36C7BF91}"/>
</file>

<file path=docProps/app.xml><?xml version="1.0" encoding="utf-8"?>
<Properties xmlns:vt="http://schemas.openxmlformats.org/officeDocument/2006/docPropsVTypes" xmlns="http://schemas.openxmlformats.org/officeDocument/2006/extended-properties">
  <Template>Normal</Template>
  <TotalTime>4</TotalTime>
  <Pages>7</Pages>
  <Words>1961</Words>
  <Characters>11184</Characters>
  <Application>Microsoft Office Word</Application>
  <DocSecurity>0</DocSecurity>
  <Lines>93</Lines>
  <Paragraphs>26</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2022-11-03T11:55:26Z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bd656bf6-c1c1-4751-9f14-368723538853</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5d230e1a-a99c-4a45-a227-aca266e1588b</vt:lpstr>
  </property>
</Properties>
</file>